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color w:val="auto"/>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b w:val="0"/>
          <w:color w:val="auto"/>
          <w:sz w:val="44"/>
          <w:szCs w:val="44"/>
          <w:lang w:val="en-US" w:eastAsia="zh-CN"/>
        </w:rPr>
        <w:t>乌鲁木齐</w:t>
      </w:r>
      <w:r>
        <w:rPr>
          <w:rFonts w:hint="default" w:ascii="Times New Roman" w:hAnsi="Times New Roman" w:eastAsia="方正小标宋_GBK" w:cs="Times New Roman"/>
          <w:b w:val="0"/>
          <w:color w:val="auto"/>
          <w:sz w:val="44"/>
          <w:szCs w:val="44"/>
        </w:rPr>
        <w:t>市城市危险房屋处置</w:t>
      </w:r>
      <w:r>
        <w:rPr>
          <w:rFonts w:hint="default" w:ascii="Times New Roman" w:hAnsi="Times New Roman" w:eastAsia="方正小标宋_GBK" w:cs="Times New Roman"/>
          <w:b w:val="0"/>
          <w:color w:val="auto"/>
          <w:sz w:val="44"/>
          <w:szCs w:val="44"/>
          <w:lang w:val="en-US" w:eastAsia="zh-CN"/>
        </w:rPr>
        <w:t>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b w:val="0"/>
          <w:color w:val="auto"/>
          <w:sz w:val="44"/>
          <w:szCs w:val="44"/>
          <w:lang w:val="en-US" w:eastAsia="zh-CN"/>
        </w:rPr>
        <w:t>（</w:t>
      </w:r>
      <w:r>
        <w:rPr>
          <w:rFonts w:hint="default" w:ascii="Times New Roman" w:hAnsi="Times New Roman" w:eastAsia="方正小标宋_GBK" w:cs="Times New Roman"/>
          <w:b w:val="0"/>
          <w:color w:val="auto"/>
          <w:sz w:val="44"/>
          <w:szCs w:val="44"/>
        </w:rPr>
        <w:t>暂行</w:t>
      </w:r>
      <w:r>
        <w:rPr>
          <w:rFonts w:hint="default" w:ascii="Times New Roman" w:hAnsi="Times New Roman" w:eastAsia="方正小标宋_GBK" w:cs="Times New Roman"/>
          <w:b w:val="0"/>
          <w:color w:val="auto"/>
          <w:sz w:val="44"/>
          <w:szCs w:val="44"/>
          <w:lang w:val="en-US" w:eastAsia="zh-CN"/>
        </w:rPr>
        <w:t>）</w:t>
      </w:r>
      <w:r>
        <w:rPr>
          <w:rFonts w:hint="default" w:ascii="Times New Roman" w:hAnsi="Times New Roman" w:eastAsia="方正小标宋_GBK" w:cs="Times New Roman"/>
          <w:b w:val="0"/>
          <w:color w:val="auto"/>
          <w:sz w:val="44"/>
          <w:szCs w:val="44"/>
        </w:rPr>
        <w:t>（</w:t>
      </w:r>
      <w:r>
        <w:rPr>
          <w:rFonts w:hint="default" w:ascii="Times New Roman" w:hAnsi="Times New Roman" w:eastAsia="方正小标宋_GBK" w:cs="Times New Roman"/>
          <w:b w:val="0"/>
          <w:color w:val="auto"/>
          <w:sz w:val="44"/>
          <w:szCs w:val="44"/>
          <w:lang w:val="en-US" w:eastAsia="zh-CN"/>
        </w:rPr>
        <w:t>征求意见稿</w:t>
      </w:r>
      <w:r>
        <w:rPr>
          <w:rFonts w:hint="default" w:ascii="Times New Roman" w:hAnsi="Times New Roman" w:eastAsia="方正小标宋_GBK" w:cs="Times New Roman"/>
          <w:b w:val="0"/>
          <w:color w:val="auto"/>
          <w:sz w:val="44"/>
          <w:szCs w:val="44"/>
        </w:rPr>
        <w:t>）</w:t>
      </w:r>
      <w:r>
        <w:rPr>
          <w:rFonts w:hint="default" w:ascii="Times New Roman" w:hAnsi="Times New Roman" w:eastAsia="方正小标宋_GBK" w:cs="Times New Roman"/>
          <w:b w:val="0"/>
          <w:color w:val="auto"/>
          <w:sz w:val="44"/>
          <w:szCs w:val="44"/>
          <w:lang w:val="en-US" w:eastAsia="zh-CN"/>
        </w:rPr>
        <w:t>》起草</w:t>
      </w:r>
      <w:r>
        <w:rPr>
          <w:rFonts w:hint="eastAsia" w:ascii="Times New Roman" w:hAnsi="Times New Roman" w:eastAsia="方正小标宋_GBK" w:cs="Times New Roman"/>
          <w:color w:val="auto"/>
          <w:sz w:val="44"/>
          <w:szCs w:val="44"/>
          <w:lang w:val="en-US" w:eastAsia="zh-CN"/>
        </w:rPr>
        <w:t>说明</w:t>
      </w:r>
    </w:p>
    <w:bookmarkEnd w:id="0"/>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现将《乌鲁木齐市城市危险房屋处置工作流程（暂行）（征求意见稿）》</w:t>
      </w:r>
      <w:r>
        <w:rPr>
          <w:rFonts w:hint="eastAsia" w:ascii="Times New Roman" w:hAnsi="Times New Roman" w:eastAsia="方正仿宋_GBK" w:cs="Times New Roman"/>
          <w:color w:val="auto"/>
          <w:sz w:val="32"/>
          <w:szCs w:val="32"/>
          <w:lang w:val="en-US" w:eastAsia="zh-CN"/>
        </w:rPr>
        <w:t>（以下简称《工作流程》）</w:t>
      </w:r>
      <w:r>
        <w:rPr>
          <w:rFonts w:hint="default" w:ascii="Times New Roman" w:hAnsi="Times New Roman" w:eastAsia="方正仿宋_GBK" w:cs="Times New Roman"/>
          <w:color w:val="auto"/>
          <w:sz w:val="32"/>
          <w:szCs w:val="32"/>
          <w:lang w:val="en-US" w:eastAsia="zh-CN"/>
        </w:rPr>
        <w:t>起草情况说明如下：</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560" w:lineRule="exact"/>
        <w:ind w:left="0" w:leftChars="0" w:right="0" w:rightChars="0"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3"/>
          <w:sz w:val="32"/>
          <w:szCs w:val="32"/>
          <w:lang w:eastAsia="zh-CN"/>
        </w:rPr>
        <w:t>一、起草背景</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按照《关于印发〈自治区自建房安全专项整治行动方案〉的通知》（新政办明电</w:t>
      </w:r>
      <w:r>
        <w:rPr>
          <w:rFonts w:hint="eastAsia" w:ascii="Times New Roman" w:hAnsi="Times New Roman" w:eastAsia="方正仿宋_GBK" w:cs="Times New Roman"/>
          <w:color w:val="auto"/>
          <w:kern w:val="2"/>
          <w:sz w:val="32"/>
          <w:szCs w:val="32"/>
          <w:lang w:val="en-US" w:eastAsia="zh-CN" w:bidi="ar-SA"/>
        </w:rPr>
        <w:t>〔2022〕115</w:t>
      </w:r>
      <w:r>
        <w:rPr>
          <w:rFonts w:hint="eastAsia" w:ascii="方正仿宋_GBK" w:hAnsi="方正仿宋_GBK" w:eastAsia="方正仿宋_GBK" w:cs="方正仿宋_GBK"/>
          <w:color w:val="auto"/>
          <w:sz w:val="32"/>
          <w:szCs w:val="32"/>
          <w:lang w:val="en-US" w:eastAsia="zh-CN"/>
        </w:rPr>
        <w:t>号）及</w:t>
      </w:r>
      <w:r>
        <w:rPr>
          <w:rFonts w:hint="eastAsia" w:ascii="方正仿宋_GBK" w:hAnsi="方正仿宋_GBK" w:eastAsia="方正仿宋_GBK" w:cs="方正仿宋_GBK"/>
          <w:b w:val="0"/>
          <w:bCs w:val="0"/>
          <w:color w:val="auto"/>
          <w:sz w:val="32"/>
          <w:szCs w:val="32"/>
          <w:lang w:val="en-US" w:eastAsia="zh-CN"/>
        </w:rPr>
        <w:t>《关于印发〈自治区</w:t>
      </w:r>
      <w:r>
        <w:rPr>
          <w:rFonts w:hint="eastAsia" w:ascii="方正仿宋_GBK" w:hAnsi="方正仿宋_GBK" w:eastAsia="方正仿宋_GBK" w:cs="方正仿宋_GBK"/>
          <w:color w:val="auto"/>
          <w:sz w:val="32"/>
          <w:szCs w:val="32"/>
          <w:lang w:val="en-US" w:eastAsia="zh-CN"/>
        </w:rPr>
        <w:t>城市危旧房摸底调查百日行动方案</w:t>
      </w:r>
      <w:r>
        <w:rPr>
          <w:rFonts w:hint="eastAsia" w:ascii="方正仿宋_GBK" w:hAnsi="方正仿宋_GBK" w:eastAsia="方正仿宋_GBK" w:cs="方正仿宋_GBK"/>
          <w:b w:val="0"/>
          <w:bCs w:val="0"/>
          <w:color w:val="auto"/>
          <w:sz w:val="32"/>
          <w:szCs w:val="32"/>
          <w:lang w:val="en-US" w:eastAsia="zh-CN"/>
        </w:rPr>
        <w:t>〉的通知》（新</w:t>
      </w:r>
      <w:r>
        <w:rPr>
          <w:rFonts w:hint="eastAsia" w:ascii="方正仿宋_GBK" w:hAnsi="方正仿宋_GBK" w:eastAsia="方正仿宋_GBK" w:cs="方正仿宋_GBK"/>
          <w:color w:val="auto"/>
          <w:sz w:val="32"/>
          <w:szCs w:val="32"/>
          <w:lang w:val="en-US" w:eastAsia="zh-CN"/>
        </w:rPr>
        <w:t>建保</w:t>
      </w:r>
      <w:r>
        <w:rPr>
          <w:rFonts w:hint="eastAsia" w:ascii="Times New Roman" w:hAnsi="Times New Roman" w:eastAsia="方正仿宋_GBK" w:cs="Times New Roman"/>
          <w:color w:val="auto"/>
          <w:kern w:val="2"/>
          <w:sz w:val="32"/>
          <w:szCs w:val="32"/>
          <w:lang w:val="en-US" w:eastAsia="zh-CN" w:bidi="ar-SA"/>
        </w:rPr>
        <w:t>〔2023〕6</w:t>
      </w:r>
      <w:r>
        <w:rPr>
          <w:rFonts w:hint="eastAsia" w:ascii="方正仿宋_GBK" w:hAnsi="方正仿宋_GBK" w:eastAsia="方正仿宋_GBK" w:cs="方正仿宋_GBK"/>
          <w:color w:val="auto"/>
          <w:sz w:val="32"/>
          <w:szCs w:val="32"/>
          <w:lang w:val="en-US" w:eastAsia="zh-CN"/>
        </w:rPr>
        <w:t>号</w:t>
      </w:r>
      <w:r>
        <w:rPr>
          <w:rFonts w:hint="eastAsia" w:ascii="方正仿宋_GBK" w:hAnsi="方正仿宋_GBK" w:eastAsia="方正仿宋_GBK" w:cs="方正仿宋_GBK"/>
          <w:b w:val="0"/>
          <w:bCs w:val="0"/>
          <w:color w:val="auto"/>
          <w:sz w:val="32"/>
          <w:szCs w:val="32"/>
          <w:lang w:val="en-US" w:eastAsia="zh-CN"/>
        </w:rPr>
        <w:t>）等文件要求</w:t>
      </w:r>
      <w:r>
        <w:rPr>
          <w:rFonts w:hint="eastAsia" w:ascii="方正仿宋_GBK" w:hAnsi="方正仿宋_GBK" w:eastAsia="方正仿宋_GBK" w:cs="方正仿宋_GBK"/>
          <w:color w:val="auto"/>
          <w:sz w:val="32"/>
          <w:szCs w:val="32"/>
          <w:lang w:val="en-US" w:eastAsia="zh-CN"/>
        </w:rPr>
        <w:t>，我市先后开展了自建房安全专项整治工作和城市危旧房摸底调查工作，针对摸排出的危险房屋实施管控、分类整治，</w:t>
      </w:r>
      <w:r>
        <w:rPr>
          <w:rFonts w:hint="eastAsia" w:ascii="方正仿宋_GBK" w:hAnsi="方正仿宋_GBK" w:eastAsia="方正仿宋_GBK" w:cs="方正仿宋_GBK"/>
          <w:sz w:val="32"/>
          <w:szCs w:val="32"/>
          <w:lang w:val="en-US" w:eastAsia="zh-CN"/>
        </w:rPr>
        <w:t>有效消除了一批安全隐患，</w:t>
      </w:r>
      <w:r>
        <w:rPr>
          <w:rFonts w:hint="eastAsia" w:ascii="方正仿宋_GBK" w:hAnsi="方正仿宋_GBK" w:eastAsia="方正仿宋_GBK" w:cs="方正仿宋_GBK"/>
          <w:color w:val="auto"/>
          <w:sz w:val="32"/>
          <w:szCs w:val="32"/>
          <w:lang w:val="en-US" w:eastAsia="zh-CN"/>
        </w:rPr>
        <w:t>取得了阶段性成效。但危险房屋处置工作中仍存在管理制度不健全、处置流程不明晰、</w:t>
      </w:r>
      <w:r>
        <w:rPr>
          <w:rFonts w:hint="eastAsia" w:ascii="方正仿宋_GBK" w:hAnsi="方正仿宋_GBK" w:eastAsia="方正仿宋_GBK" w:cs="方正仿宋_GBK"/>
          <w:sz w:val="32"/>
          <w:szCs w:val="32"/>
          <w:lang w:val="en-US" w:eastAsia="zh-CN"/>
        </w:rPr>
        <w:t>部门统筹协同机制不完善等突出问题。</w:t>
      </w:r>
      <w:r>
        <w:rPr>
          <w:rFonts w:hint="eastAsia" w:ascii="方正仿宋_GBK" w:hAnsi="方正仿宋_GBK" w:eastAsia="方正仿宋_GBK" w:cs="方正仿宋_GBK"/>
          <w:b w:val="0"/>
          <w:color w:val="auto"/>
          <w:sz w:val="32"/>
          <w:szCs w:val="32"/>
        </w:rPr>
        <w:t>为规范我市城</w:t>
      </w:r>
      <w:r>
        <w:rPr>
          <w:rFonts w:hint="eastAsia" w:ascii="方正仿宋_GBK" w:hAnsi="方正仿宋_GBK" w:eastAsia="方正仿宋_GBK" w:cs="方正仿宋_GBK"/>
          <w:b w:val="0"/>
          <w:color w:val="auto"/>
          <w:sz w:val="32"/>
          <w:szCs w:val="32"/>
          <w:lang w:val="en-US" w:eastAsia="zh-CN"/>
        </w:rPr>
        <w:t>市</w:t>
      </w:r>
      <w:r>
        <w:rPr>
          <w:rFonts w:hint="eastAsia" w:ascii="方正仿宋_GBK" w:hAnsi="方正仿宋_GBK" w:eastAsia="方正仿宋_GBK" w:cs="方正仿宋_GBK"/>
          <w:b w:val="0"/>
          <w:color w:val="auto"/>
          <w:sz w:val="32"/>
          <w:szCs w:val="32"/>
        </w:rPr>
        <w:t>危险房屋处置工作，</w:t>
      </w:r>
      <w:r>
        <w:rPr>
          <w:rFonts w:hint="eastAsia" w:ascii="方正仿宋_GBK" w:hAnsi="方正仿宋_GBK" w:eastAsia="方正仿宋_GBK" w:cs="方正仿宋_GBK"/>
          <w:b w:val="0"/>
          <w:color w:val="auto"/>
          <w:sz w:val="32"/>
          <w:szCs w:val="32"/>
          <w:lang w:eastAsia="zh-CN"/>
        </w:rPr>
        <w:t>切实</w:t>
      </w:r>
      <w:r>
        <w:rPr>
          <w:rFonts w:hint="eastAsia" w:ascii="方正仿宋_GBK" w:hAnsi="方正仿宋_GBK" w:eastAsia="方正仿宋_GBK" w:cs="方正仿宋_GBK"/>
          <w:b w:val="0"/>
          <w:color w:val="auto"/>
          <w:sz w:val="32"/>
          <w:szCs w:val="32"/>
        </w:rPr>
        <w:t>消除房屋使用安全隐患</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color w:val="auto"/>
          <w:sz w:val="32"/>
          <w:szCs w:val="32"/>
          <w:lang w:val="en-US" w:eastAsia="zh-CN"/>
        </w:rPr>
        <w:t>结合实际，我局起草了《</w:t>
      </w:r>
      <w:r>
        <w:rPr>
          <w:rFonts w:hint="eastAsia" w:ascii="Times New Roman" w:hAnsi="Times New Roman" w:eastAsia="方正仿宋_GBK" w:cs="Times New Roman"/>
          <w:color w:val="auto"/>
          <w:sz w:val="32"/>
          <w:szCs w:val="32"/>
          <w:lang w:val="en-US" w:eastAsia="zh-CN"/>
        </w:rPr>
        <w:t>工作流程</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二、制定依据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auto"/>
          <w:sz w:val="32"/>
          <w:szCs w:val="32"/>
          <w:lang w:val="en-US" w:eastAsia="zh-CN"/>
        </w:rPr>
        <w:t>工作流程</w:t>
      </w:r>
      <w:r>
        <w:rPr>
          <w:rFonts w:hint="eastAsia" w:ascii="方正仿宋_GBK" w:hAnsi="方正仿宋_GBK" w:eastAsia="方正仿宋_GBK" w:cs="方正仿宋_GBK"/>
          <w:sz w:val="32"/>
          <w:szCs w:val="32"/>
          <w:lang w:val="en-US" w:eastAsia="zh-CN"/>
        </w:rPr>
        <w:t>》制定依据的主要法律法规、政策性文件及国家标准规范有</w:t>
      </w:r>
      <w:r>
        <w:rPr>
          <w:rFonts w:hint="default" w:ascii="Times New Roman" w:hAnsi="Times New Roman" w:eastAsia="方正仿宋_GBK" w:cs="Times New Roman"/>
          <w:b w:val="0"/>
          <w:color w:val="auto"/>
          <w:sz w:val="32"/>
          <w:szCs w:val="32"/>
        </w:rPr>
        <w:t>《城市危险房屋管理</w:t>
      </w:r>
      <w:r>
        <w:rPr>
          <w:rFonts w:hint="default" w:ascii="Times New Roman" w:hAnsi="Times New Roman" w:eastAsia="方正仿宋_GBK" w:cs="Times New Roman"/>
          <w:b w:val="0"/>
          <w:color w:val="auto"/>
          <w:sz w:val="32"/>
          <w:szCs w:val="32"/>
          <w:lang w:val="en-US" w:eastAsia="zh-CN"/>
        </w:rPr>
        <w:t>规</w:t>
      </w:r>
      <w:r>
        <w:rPr>
          <w:rFonts w:hint="default" w:ascii="Times New Roman" w:hAnsi="Times New Roman" w:eastAsia="方正仿宋_GBK" w:cs="Times New Roman"/>
          <w:b w:val="0"/>
          <w:color w:val="auto"/>
          <w:sz w:val="32"/>
          <w:szCs w:val="32"/>
        </w:rPr>
        <w:t>定》（建设部令第129号）</w:t>
      </w:r>
      <w:r>
        <w:rPr>
          <w:rFonts w:hint="default" w:ascii="Times New Roman" w:hAnsi="Times New Roman" w:eastAsia="方正仿宋_GBK" w:cs="Times New Roman"/>
          <w:b w:val="0"/>
          <w:color w:val="auto"/>
          <w:sz w:val="32"/>
          <w:szCs w:val="32"/>
          <w:lang w:eastAsia="zh-CN"/>
        </w:rPr>
        <w:t>、《中华人民共和国突发事件应对法》</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《危险房屋鉴定标准》（JGJ125－2016</w:t>
      </w:r>
      <w:r>
        <w:rPr>
          <w:rFonts w:hint="default" w:ascii="Times New Roman" w:hAnsi="Times New Roman" w:eastAsia="方正仿宋_GBK" w:cs="Times New Roman"/>
          <w:b w:val="0"/>
          <w:color w:val="auto"/>
          <w:sz w:val="32"/>
          <w:szCs w:val="32"/>
          <w:lang w:eastAsia="zh-CN"/>
        </w:rPr>
        <w:t>）、《民用建筑可靠性鉴定标准》（</w:t>
      </w:r>
      <w:r>
        <w:rPr>
          <w:rFonts w:hint="default" w:ascii="Times New Roman" w:hAnsi="Times New Roman" w:eastAsia="方正仿宋_GBK" w:cs="Times New Roman"/>
          <w:b w:val="0"/>
          <w:color w:val="auto"/>
          <w:sz w:val="32"/>
          <w:szCs w:val="32"/>
          <w:lang w:val="en-US" w:eastAsia="zh-CN"/>
        </w:rPr>
        <w:t>GB 50292-2015）</w:t>
      </w:r>
      <w:r>
        <w:rPr>
          <w:rFonts w:hint="eastAsia" w:ascii="方正仿宋_GBK" w:hAnsi="方正仿宋_GBK" w:eastAsia="方正仿宋_GBK" w:cs="方正仿宋_GBK"/>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黑体_GBK" w:cs="Times New Roman"/>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小标宋_GBK" w:hAnsi="方正小标宋_GBK" w:eastAsia="方正小标宋_GBK" w:cs="方正小标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auto"/>
          <w:sz w:val="32"/>
          <w:szCs w:val="32"/>
          <w:lang w:val="en-US" w:eastAsia="zh-CN"/>
        </w:rPr>
        <w:t>工作流程</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auto"/>
          <w:spacing w:val="-3"/>
          <w:sz w:val="32"/>
          <w:szCs w:val="32"/>
          <w:lang w:eastAsia="zh-CN"/>
        </w:rPr>
        <w:t>一是</w:t>
      </w:r>
      <w:r>
        <w:rPr>
          <w:rFonts w:hint="eastAsia" w:ascii="方正仿宋_GBK" w:hAnsi="方正仿宋_GBK" w:eastAsia="方正仿宋_GBK" w:cs="方正仿宋_GBK"/>
          <w:color w:val="auto"/>
          <w:spacing w:val="-3"/>
          <w:sz w:val="32"/>
          <w:szCs w:val="32"/>
          <w:lang w:eastAsia="zh-CN"/>
        </w:rPr>
        <w:t>明确了指导思想、工作原则、目标任务、加固重建实施主体。</w:t>
      </w:r>
      <w:r>
        <w:rPr>
          <w:rFonts w:hint="eastAsia" w:ascii="方正仿宋_GBK" w:hAnsi="方正仿宋_GBK" w:eastAsia="方正仿宋_GBK" w:cs="方正仿宋_GBK"/>
          <w:b/>
          <w:bCs/>
          <w:color w:val="auto"/>
          <w:spacing w:val="-3"/>
          <w:sz w:val="32"/>
          <w:szCs w:val="32"/>
          <w:lang w:eastAsia="zh-CN"/>
        </w:rPr>
        <w:t>二是</w:t>
      </w:r>
      <w:r>
        <w:rPr>
          <w:rFonts w:hint="eastAsia" w:ascii="方正仿宋_GBK" w:hAnsi="方正仿宋_GBK" w:eastAsia="方正仿宋_GBK" w:cs="方正仿宋_GBK"/>
          <w:color w:val="auto"/>
          <w:spacing w:val="-3"/>
          <w:sz w:val="32"/>
          <w:szCs w:val="32"/>
          <w:lang w:eastAsia="zh-CN"/>
        </w:rPr>
        <w:t>确定了责任分工。</w:t>
      </w:r>
      <w:r>
        <w:rPr>
          <w:rFonts w:hint="eastAsia" w:ascii="方正仿宋_GBK" w:hAnsi="方正仿宋_GBK" w:eastAsia="方正仿宋_GBK" w:cs="方正仿宋_GBK"/>
          <w:b/>
          <w:bCs/>
          <w:color w:val="auto"/>
          <w:spacing w:val="-3"/>
          <w:sz w:val="32"/>
          <w:szCs w:val="32"/>
          <w:lang w:eastAsia="zh-CN"/>
        </w:rPr>
        <w:t>三是</w:t>
      </w:r>
      <w:r>
        <w:rPr>
          <w:rFonts w:hint="eastAsia" w:ascii="方正仿宋_GBK" w:hAnsi="方正仿宋_GBK" w:eastAsia="方正仿宋_GBK" w:cs="方正仿宋_GBK"/>
          <w:color w:val="auto"/>
          <w:spacing w:val="-3"/>
          <w:sz w:val="32"/>
          <w:szCs w:val="32"/>
          <w:lang w:eastAsia="zh-CN"/>
        </w:rPr>
        <w:t>从</w:t>
      </w:r>
      <w:r>
        <w:rPr>
          <w:rFonts w:hint="eastAsia" w:ascii="方正仿宋_GBK" w:hAnsi="方正仿宋_GBK" w:eastAsia="方正仿宋_GBK" w:cs="方正仿宋_GBK"/>
          <w:color w:val="auto"/>
          <w:sz w:val="32"/>
          <w:szCs w:val="32"/>
          <w:lang w:val="en-US" w:eastAsia="zh-CN"/>
        </w:rPr>
        <w:t>检测鉴定为</w:t>
      </w:r>
      <w:r>
        <w:rPr>
          <w:rFonts w:hint="eastAsia" w:ascii="Times New Roman" w:hAnsi="Times New Roman" w:eastAsia="方正仿宋_GBK" w:cs="Times New Roman"/>
          <w:color w:val="auto"/>
          <w:kern w:val="2"/>
          <w:sz w:val="32"/>
          <w:szCs w:val="32"/>
          <w:lang w:val="en-US" w:eastAsia="zh-CN" w:bidi="ar-SA"/>
        </w:rPr>
        <w:t>C级危险住房修缮加固和检测鉴定为D级危险住房拆</w:t>
      </w:r>
      <w:r>
        <w:rPr>
          <w:rFonts w:hint="eastAsia" w:ascii="方正仿宋_GBK" w:hAnsi="方正仿宋_GBK" w:eastAsia="方正仿宋_GBK" w:cs="方正仿宋_GBK"/>
          <w:b w:val="0"/>
          <w:bCs w:val="0"/>
          <w:color w:val="auto"/>
          <w:sz w:val="32"/>
          <w:szCs w:val="40"/>
          <w:lang w:val="en-US" w:eastAsia="zh-CN"/>
        </w:rPr>
        <w:t>除重建两个方面</w:t>
      </w:r>
      <w:r>
        <w:rPr>
          <w:rFonts w:hint="eastAsia" w:ascii="方正仿宋_GBK" w:hAnsi="方正仿宋_GBK" w:eastAsia="方正仿宋_GBK" w:cs="方正仿宋_GBK"/>
          <w:color w:val="auto"/>
          <w:spacing w:val="-3"/>
          <w:sz w:val="32"/>
          <w:szCs w:val="32"/>
          <w:lang w:eastAsia="zh-CN"/>
        </w:rPr>
        <w:t>细化了处置工作流程。</w:t>
      </w:r>
      <w:r>
        <w:rPr>
          <w:rFonts w:hint="eastAsia" w:ascii="方正仿宋_GBK" w:hAnsi="方正仿宋_GBK" w:eastAsia="方正仿宋_GBK" w:cs="方正仿宋_GBK"/>
          <w:b/>
          <w:bCs/>
          <w:color w:val="auto"/>
          <w:spacing w:val="-3"/>
          <w:sz w:val="32"/>
          <w:szCs w:val="32"/>
          <w:lang w:eastAsia="zh-CN"/>
        </w:rPr>
        <w:t>四是</w:t>
      </w:r>
      <w:r>
        <w:rPr>
          <w:rFonts w:hint="eastAsia" w:ascii="方正仿宋_GBK" w:hAnsi="方正仿宋_GBK" w:eastAsia="方正仿宋_GBK" w:cs="方正仿宋_GBK"/>
          <w:color w:val="auto"/>
          <w:spacing w:val="-3"/>
          <w:sz w:val="32"/>
          <w:szCs w:val="32"/>
          <w:lang w:eastAsia="zh-CN"/>
        </w:rPr>
        <w:t>明确了改造资金来源。</w:t>
      </w:r>
    </w:p>
    <w:p/>
    <w:sectPr>
      <w:footerReference r:id="rId3" w:type="default"/>
      <w:pgSz w:w="11906" w:h="16838"/>
      <w:pgMar w:top="1984" w:right="1559" w:bottom="1814" w:left="155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方正仿宋_GBK" w:cs="Times New Roman"/>
                              <w:color w:val="auto"/>
                              <w:spacing w:val="3"/>
                              <w:kern w:val="0"/>
                              <w:sz w:val="28"/>
                              <w:szCs w:val="28"/>
                              <w:lang w:val="en-US" w:eastAsia="zh-CN" w:bidi="ar"/>
                            </w:rPr>
                          </w:pPr>
                          <w:r>
                            <w:rPr>
                              <w:rFonts w:hint="eastAsia" w:ascii="Times New Roman" w:hAnsi="Times New Roman" w:eastAsia="方正仿宋_GBK" w:cs="Times New Roman"/>
                              <w:color w:val="auto"/>
                              <w:spacing w:val="3"/>
                              <w:kern w:val="0"/>
                              <w:sz w:val="28"/>
                              <w:szCs w:val="28"/>
                              <w:lang w:val="en-US" w:eastAsia="zh-CN" w:bidi="ar"/>
                            </w:rPr>
                            <w:t xml:space="preserve">— </w:t>
                          </w:r>
                          <w:r>
                            <w:rPr>
                              <w:rFonts w:hint="eastAsia" w:ascii="Times New Roman" w:hAnsi="Times New Roman" w:eastAsia="方正仿宋_GBK" w:cs="Times New Roman"/>
                              <w:color w:val="auto"/>
                              <w:spacing w:val="3"/>
                              <w:kern w:val="0"/>
                              <w:sz w:val="28"/>
                              <w:szCs w:val="28"/>
                              <w:lang w:val="en-US" w:eastAsia="zh-CN" w:bidi="ar"/>
                            </w:rPr>
                            <w:fldChar w:fldCharType="begin"/>
                          </w:r>
                          <w:r>
                            <w:rPr>
                              <w:rFonts w:hint="eastAsia" w:ascii="Times New Roman" w:hAnsi="Times New Roman" w:eastAsia="方正仿宋_GBK" w:cs="Times New Roman"/>
                              <w:color w:val="auto"/>
                              <w:spacing w:val="3"/>
                              <w:kern w:val="0"/>
                              <w:sz w:val="28"/>
                              <w:szCs w:val="28"/>
                              <w:lang w:val="en-US" w:eastAsia="zh-CN" w:bidi="ar"/>
                            </w:rPr>
                            <w:instrText xml:space="preserve"> PAGE  \* MERGEFORMAT </w:instrText>
                          </w:r>
                          <w:r>
                            <w:rPr>
                              <w:rFonts w:hint="eastAsia" w:ascii="Times New Roman" w:hAnsi="Times New Roman" w:eastAsia="方正仿宋_GBK" w:cs="Times New Roman"/>
                              <w:color w:val="auto"/>
                              <w:spacing w:val="3"/>
                              <w:kern w:val="0"/>
                              <w:sz w:val="28"/>
                              <w:szCs w:val="28"/>
                              <w:lang w:val="en-US" w:eastAsia="zh-CN" w:bidi="ar"/>
                            </w:rPr>
                            <w:fldChar w:fldCharType="separate"/>
                          </w:r>
                          <w:r>
                            <w:rPr>
                              <w:rFonts w:hint="eastAsia" w:ascii="Times New Roman" w:hAnsi="Times New Roman" w:eastAsia="方正仿宋_GBK" w:cs="Times New Roman"/>
                              <w:color w:val="auto"/>
                              <w:spacing w:val="3"/>
                              <w:kern w:val="0"/>
                              <w:sz w:val="28"/>
                              <w:szCs w:val="28"/>
                              <w:lang w:val="en-US" w:eastAsia="zh-CN" w:bidi="ar"/>
                            </w:rPr>
                            <w:t>1</w:t>
                          </w:r>
                          <w:r>
                            <w:rPr>
                              <w:rFonts w:hint="eastAsia" w:ascii="Times New Roman" w:hAnsi="Times New Roman" w:eastAsia="方正仿宋_GBK" w:cs="Times New Roman"/>
                              <w:color w:val="auto"/>
                              <w:spacing w:val="3"/>
                              <w:kern w:val="0"/>
                              <w:sz w:val="28"/>
                              <w:szCs w:val="28"/>
                              <w:lang w:val="en-US" w:eastAsia="zh-CN" w:bidi="ar"/>
                            </w:rPr>
                            <w:fldChar w:fldCharType="end"/>
                          </w:r>
                          <w:r>
                            <w:rPr>
                              <w:rFonts w:hint="eastAsia" w:ascii="Times New Roman" w:hAnsi="Times New Roman" w:eastAsia="方正仿宋_GBK" w:cs="Times New Roman"/>
                              <w:color w:val="auto"/>
                              <w:spacing w:val="3"/>
                              <w:kern w:val="0"/>
                              <w:sz w:val="28"/>
                              <w:szCs w:val="28"/>
                              <w:lang w:val="en-US" w:eastAsia="zh-CN" w:bidi="ar"/>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imes New Roman" w:hAnsi="Times New Roman" w:eastAsia="方正仿宋_GBK" w:cs="Times New Roman"/>
                        <w:color w:val="auto"/>
                        <w:spacing w:val="3"/>
                        <w:kern w:val="0"/>
                        <w:sz w:val="28"/>
                        <w:szCs w:val="28"/>
                        <w:lang w:val="en-US" w:eastAsia="zh-CN" w:bidi="ar"/>
                      </w:rPr>
                    </w:pPr>
                    <w:r>
                      <w:rPr>
                        <w:rFonts w:hint="eastAsia" w:ascii="Times New Roman" w:hAnsi="Times New Roman" w:eastAsia="方正仿宋_GBK" w:cs="Times New Roman"/>
                        <w:color w:val="auto"/>
                        <w:spacing w:val="3"/>
                        <w:kern w:val="0"/>
                        <w:sz w:val="28"/>
                        <w:szCs w:val="28"/>
                        <w:lang w:val="en-US" w:eastAsia="zh-CN" w:bidi="ar"/>
                      </w:rPr>
                      <w:t xml:space="preserve">— </w:t>
                    </w:r>
                    <w:r>
                      <w:rPr>
                        <w:rFonts w:hint="eastAsia" w:ascii="Times New Roman" w:hAnsi="Times New Roman" w:eastAsia="方正仿宋_GBK" w:cs="Times New Roman"/>
                        <w:color w:val="auto"/>
                        <w:spacing w:val="3"/>
                        <w:kern w:val="0"/>
                        <w:sz w:val="28"/>
                        <w:szCs w:val="28"/>
                        <w:lang w:val="en-US" w:eastAsia="zh-CN" w:bidi="ar"/>
                      </w:rPr>
                      <w:fldChar w:fldCharType="begin"/>
                    </w:r>
                    <w:r>
                      <w:rPr>
                        <w:rFonts w:hint="eastAsia" w:ascii="Times New Roman" w:hAnsi="Times New Roman" w:eastAsia="方正仿宋_GBK" w:cs="Times New Roman"/>
                        <w:color w:val="auto"/>
                        <w:spacing w:val="3"/>
                        <w:kern w:val="0"/>
                        <w:sz w:val="28"/>
                        <w:szCs w:val="28"/>
                        <w:lang w:val="en-US" w:eastAsia="zh-CN" w:bidi="ar"/>
                      </w:rPr>
                      <w:instrText xml:space="preserve"> PAGE  \* MERGEFORMAT </w:instrText>
                    </w:r>
                    <w:r>
                      <w:rPr>
                        <w:rFonts w:hint="eastAsia" w:ascii="Times New Roman" w:hAnsi="Times New Roman" w:eastAsia="方正仿宋_GBK" w:cs="Times New Roman"/>
                        <w:color w:val="auto"/>
                        <w:spacing w:val="3"/>
                        <w:kern w:val="0"/>
                        <w:sz w:val="28"/>
                        <w:szCs w:val="28"/>
                        <w:lang w:val="en-US" w:eastAsia="zh-CN" w:bidi="ar"/>
                      </w:rPr>
                      <w:fldChar w:fldCharType="separate"/>
                    </w:r>
                    <w:r>
                      <w:rPr>
                        <w:rFonts w:hint="eastAsia" w:ascii="Times New Roman" w:hAnsi="Times New Roman" w:eastAsia="方正仿宋_GBK" w:cs="Times New Roman"/>
                        <w:color w:val="auto"/>
                        <w:spacing w:val="3"/>
                        <w:kern w:val="0"/>
                        <w:sz w:val="28"/>
                        <w:szCs w:val="28"/>
                        <w:lang w:val="en-US" w:eastAsia="zh-CN" w:bidi="ar"/>
                      </w:rPr>
                      <w:t>1</w:t>
                    </w:r>
                    <w:r>
                      <w:rPr>
                        <w:rFonts w:hint="eastAsia" w:ascii="Times New Roman" w:hAnsi="Times New Roman" w:eastAsia="方正仿宋_GBK" w:cs="Times New Roman"/>
                        <w:color w:val="auto"/>
                        <w:spacing w:val="3"/>
                        <w:kern w:val="0"/>
                        <w:sz w:val="28"/>
                        <w:szCs w:val="28"/>
                        <w:lang w:val="en-US" w:eastAsia="zh-CN" w:bidi="ar"/>
                      </w:rPr>
                      <w:fldChar w:fldCharType="end"/>
                    </w:r>
                    <w:r>
                      <w:rPr>
                        <w:rFonts w:hint="eastAsia" w:ascii="Times New Roman" w:hAnsi="Times New Roman" w:eastAsia="方正仿宋_GBK" w:cs="Times New Roman"/>
                        <w:color w:val="auto"/>
                        <w:spacing w:val="3"/>
                        <w:kern w:val="0"/>
                        <w:sz w:val="28"/>
                        <w:szCs w:val="28"/>
                        <w:lang w:val="en-US" w:eastAsia="zh-CN" w:bidi="ar"/>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136F"/>
    <w:rsid w:val="5CB0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2024-08-20T10:23:00Z</dcterms:created>
  <dc:creator>Administrator</dc:creator>
  <cp:lastModifiedBy>Administrator</cp:lastModifiedBy>
  <dcterms:modified xsi:type="dcterms:W3CDTF">2024-08-20T10:24:28Z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