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《乌鲁木齐市海绵城市专项规划（2022-2035年）》及《乌鲁木齐市海绵城市规划技术导则》编制项目</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乌鲁木齐市城市规划管理局本级</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乌鲁木齐市城市规划管理局本级</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马民鹏</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2023年04月06日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落实国家生态文明建设要求，统筹规划海绵城市的各项建设工作，为乌鲁木齐市海绵城市建设实施提供规划保障和技术指引，按照《2021年乌鲁木齐市系统化全域推进海绵城市建设示范工作实施方案》、《关于印发乌鲁木齐市海绵城市项目建设管理实施细则（试行）的通知》（乌政办﹝2021﹞61号）工作部署，市规划局组织开展《乌鲁木齐市海绵城市专项规划（2022-2035年）》及《乌鲁木齐市海绵城市规划技术导则》编制项目。2022年5月25日通过公开招标确定深圳市城市规划设计研究院有限公司作为编制单位。2022年7月6日签订项目合同书，合同金额为430万元。2022年7月27日向市规划局及市海绵办进行了初步成果汇报。2022年10月28日向市规划局进行了线上中期成果汇报。2022年11月23日召开了线上专家评审会，专家组一致同意通过该项目审查。现成果已按照专家意见修改，按程序上报审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该项目合同金额430万元，2022年申请资金258万元，市财政局于9月21日下达了《关于下达2021-2022年城市管网及污水处理补助资金预算的通知》（乌财建【2022】 198号），拨付到位资金258万元，全部为中央补助资金。</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绩效目标设置横跨项目期两年，为总体绩效目标，预计在两年内编制完成《乌鲁木齐市海绵城市专项规划（2022-2035年）》及《乌鲁木齐市海绵城市规划技术导则》，形成最终成果，通过专家评审，并依法依规完成报批工作。2022年，计划编制完成《乌鲁木齐市海绵城市专项规划（2022-2035年）》及《乌鲁木齐市海绵城市规划技术导则》，初步形成专项规划纸质版成果8套，初步形成规划技术导则纸质版成果8套，初步形成电子版成果1套，进行初步成果汇报两次，有效指导海绵城市建设，规划工作社会影响力显著提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（1）绩效评价的对象：《乌鲁木齐市海绵城市专项规划（2022-2035年）》及《乌鲁木齐市海绵城市规划技术导则》编制项目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1.项目范围：《乌鲁木齐市海绵城市专项规划（2022-2035年）》及《乌鲁木齐市海绵城市规划技术导则》编制项目的完成情况、资金投入的运行情况、项目实施后产生的绩效及影响效果。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（3）因素分析法。是指综合分析影响绩效目标实现、实施效果的内外部因素的方法。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（4）最低成本法。是指在绩效目标确定的前提下，成本最小者为优的方法。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（5）公众评判法。是指通过专家评估、公众问卷及抽样调查等方式进行评判的方法。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（6）标杆管理法。是指以国内外同行业中较高的绩效水平为标杆进行评判的方法。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（7）其他评价方法。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本项目（《乌鲁木齐市海绵城市专项规划（2022-2035年）》及《乌鲁木齐市海绵城市规划技术导则》编制项目）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·《项目支出绩效评价管理办法》（财预〔2020〕10号）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·《关于进一步明确海绵城市建设工作有关要求的通知》（建办城〔2022〕17号）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·《关于推进海绵城市建设的指导意见》（国办发［2015］75 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·《自治区推进海绵城市建设的实施意见》（新政办发〔2018〕125号）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乌鲁木齐市海绵城市专项规划（2022-2035年）》及《乌鲁木齐市海绵城市规划技术导则》编制项目进行客观评价，最终评分结果为：总分为98分，绩效评级为“优”[ 参考《关于印发&lt;项目支出绩效评价管理办法&gt;的通知》（财预〔2020〕10号）中的规定，本次绩效评价结果实施百分制和四级分类，其中90（含）-100分为优、80（含）-90分为良、60（含）-80分为中、60分以下为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区财政及时拨付，单位在此次评价期间内，有序组织编制完成《乌鲁木齐市海绵城市专项规划（2022-2035年）》及《乌鲁木齐市海绵城市规划技术导则》，开展了两次专题调研，进行了两轮征求意见，共收集到23家单位84条意见，在此基础上，科学谋划，从目标及思路、自然生态空间格局、蓝绿空间格局构建、雨水综合管理规划、近期建设规划等十个篇章提出了乌鲁木齐市海绵城市专项规划初步方案，对成果进行汇报两次，在此过程中充分听取并采纳了专家、行业主管部门、群众对海绵城市专项规划的意见，最终形成了专项规划纸质版成果8套、规划技术导则纸质版成果8套、电子版成果1套。本项目基于乌鲁木齐市建设本底及现状问题，从流域层面的自然生态空间格局构建、蓝绿空间格局构建；从城市层面的非常规水资源利用及城市+社区层面的雨水综合管理等方面提出相应规划策略。将海绵城市核心指标及要求纳入国土空间规划，建设排水分区海绵城市管控指标分解体系及中心城区控制性详细规划单元海绵城市管指标分解体系，建设项目源头海绵城市管控指引，制定乌鲁木齐市海绵城市规划技术导则；通过上述成果，科学引导乌鲁木齐市海绵城市有序建设，规划工作社会影响力得到显著提高。</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依据充分性：项目立项符合《乌鲁木齐市政府投资项目管理办法》等法律法规要求。同时，《乌鲁木齐市海绵城市专项规划（2022-2035年）》及《乌鲁木齐市海绵城市规划技术导则》编制项目按照市政府《关于印发乌鲁木齐市海绵城市项目建设管理实施细则（试行）的通知》工作部署进行立项，是贯彻落实《中共中央 国务院关于建立国土空间规划体系并监督实施的若干意见（中发【2019】18号）》中国土空间详细规划的重要组成部分，有利于完善乌鲁木齐市国土空间规划体系，与市城乡规划管理局的职责范围相符，属于部门履职所需。此外，本项目属于公共财政支持范围，符合中央、地方事权支出责任划分原则。因此，立项依据充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立项程序规范性: 项目按照市政府《关于印发乌鲁木齐市海绵城市项目建设管理实施细则（试行）的通知》工作部署要求，申请设立，审批文件、材料符合相关要求，故立项程序规范，得4分。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绩效目标明确性：本项目的绩效目标明确，通过形成《</w:t>
      </w:r>
      <w:bookmarkStart w:id="0" w:name="_GoBack"/>
      <w:bookmarkEnd w:id="0"/>
      <w:r>
        <w:rPr>
          <w:rStyle w:val="18"/>
          <w:rFonts w:hint="eastAsia" w:ascii="楷体" w:hAnsi="楷体" w:eastAsia="楷体"/>
          <w:b w:val="0"/>
          <w:bCs w:val="0"/>
          <w:spacing w:val="-4"/>
          <w:sz w:val="32"/>
          <w:szCs w:val="32"/>
        </w:rPr>
        <w:t>乌鲁木齐市海绵城市专项规划（2022-2035年）》及《乌鲁木齐市海绵城市规划技术导则》编制成果，有效指导乌鲁木齐市海绵城市建设。其中，规划成果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预算编制科学性：乌鲁木齐市海绵城市建设专项规划按照《城市规划设计计费指导意见》（2017 修订版）“11.4 海绵城市建设专项规划”编制费用进行计取。规划计费单价按“人口规模 100（万人）以上的总体规划计费单价”计，即 1.5 万元/平方千米。则项目计费为：458.36×1.5=687.5 万元。《乌鲁木齐市海绵城市规划技术导则》编制费用按 42 万元计。报价合计687.5+42=729.5 万元。 考虑到项目组具有丰富的海绵城市专项规划及技术导则编制经验，取折扣系数0.59，则编制费用合计为：729.5×0.59=430 万元（取整）。故预算编制科学性指标得分3分。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分配合理性：本项目按照市政府《关于印发乌鲁木齐市海绵城市项目建设管理实施细则（试行）的通知》工作部署，编制完成了《乌鲁木齐市海绵城市专项规划（2022-2035年）》及《乌鲁木齐市海绵城市规划技术导则》，资金涵盖项目全过程，故资金分配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资金到位率：根据2022年9月20日市财政局《关于下达2021-2022年城市管网及污水处理补助资金预算的通知》乌财建（2022）198号文件下拨资金，资金到位，故资金到位率指标得分5分。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预算执行率：2022年12月21日一次性支付给深圳市城市规划设计研究院有限公司。故预算执行率得分为5分。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综上，该指标满分13分，得分13分。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管理制度健全性：乌鲁木齐市城乡规划管理局已制定《关于印发市规划局机关财务管理制度的通知》、《乌鲁木齐市城市规划管理技术规定（修订）》，且制度合法、合规、完整，为项目顺利实施提供重要保障。故管理制度健全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制度执行有效性：根据现场调研和资料抽查情况，《乌鲁木齐市海绵城市专项规划（2022-2035年）》及《乌鲁木齐市海绵城市规划技术导则》编制项目严格遵守相关法律法规和相关管理规定，项目调整及支出调整手续完备，整体管理合理有序，项目完成后，及时将会计凭证、规划成果等相关资料分类归档，制度执行有效。故制度执行有效性指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项目产出指标由2个二级指标和5个三级指标构成，权重为40分，实际得分40分。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数量指标“专项规划纸质版成果完成数”的目标值是8套，2022年度我单位实际完成8套。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数量指标“电子版规划成果完成数”的目标值是1套，2022年度我单位实际完成1套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数量指标“规划技术导则纸质版成果完成数”的目标值是8套，2022年度我单位8套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数量指标“成果汇报次数”的目标值为2次，本项目实际汇报次数两次。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实际完成率：100%，故实际完成率得分为30分。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规划策划成果通过率：本项目提交成果后，我局及时组织了专家评审，对规划成果进行技术审查，专家一致认为该规划成果通过审查，通过率100%，故规划策划成果通过率得分10分。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综上，该指标满分40分，得分40分。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项目效益指标由1个二级指标和1个三级指标构成，权重为10分，实际得分8分。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经济效益指标：不适用。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社会效益指标：评价指标“规划工作社会影响”，指标值：有效提高，实际完成值：基本达成年度指标。本《乌鲁木齐市海绵城市专项规划（2022-2035年）》及《乌鲁木齐市海绵城市规划技术导则》的指导下，随着海绵城市的有序建设，有效提高了城市雨水收集和利用水平，有效破解水资源困境，提高城市应对气候周期变化、城市热岛效应带来的涝、溢问题。满足市民对高品质公共活动空间的需求。从而使得规划工作社会影响有效提高。但海绵城市建设工作正在有序推进，专项规划所列的近期建设计划、规划措施尚未完全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生态效益指标：不适用。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可持续影响指标：不适用。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综上，该指标满分10分，得分8分。</w:t>
      </w:r>
    </w:p>
    <w:p>
      <w:pPr>
        <w:spacing w:line="540" w:lineRule="exact"/>
        <w:ind w:firstLine="567"/>
        <w:rPr>
          <w:rStyle w:val="18"/>
          <w:rFonts w:ascii="楷体" w:hAnsi="楷体" w:eastAsia="楷体"/>
          <w:b w:val="0"/>
          <w:bCs w:val="0"/>
          <w:spacing w:val="-4"/>
          <w:sz w:val="32"/>
          <w:szCs w:val="32"/>
        </w:rPr>
      </w:pPr>
    </w:p>
    <w:p>
      <w:pPr>
        <w:spacing w:line="540" w:lineRule="exact"/>
        <w:ind w:firstLine="567" w:firstLineChars="181"/>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群众满意度：评价指标“群众满意度”，指标值：≥90%，实际完成值：≥90%。通过设置问卷调查的方式进行考评评价，共计调查样本总量为20个样本，有效调查问卷20份。其中，统计“满意”的平均值为90%。故满意度指标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综上，该指标满分10分，得分10分。</w:t>
      </w:r>
    </w:p>
    <w:p>
      <w:pPr>
        <w:spacing w:line="540" w:lineRule="exact"/>
        <w:ind w:firstLine="567"/>
        <w:rPr>
          <w:rStyle w:val="18"/>
          <w:rFonts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本项目预算执行率为100%，指标总体完成率为98.67%，二者之间的偏差值为1.33%，小于20%。因此，本项目较好地完成了年度总体目标，财政资金使用效益和效率较高。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设置绩效指标。规范绩效指标设置，根据项目的特性和具体实施内容，科学设置绩效指标，进一步细化、量化绩效目标，确保绩效指标能准确、有效反映项目完成情况和项目编制质量，有效引导海绵城市建设，满足绩效指标评价要求，保障财政资金的高效使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2、加强绩效管理。在项目实施过程中，加强绩效管理，全程介入，提前干预，提高绩效目标治理能力和水平，针对偏离绩效目标的指标及时采取措施纠正偏差，确保绩效目标如期保质保量实现。</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加强项目的管理。一是在项目谋划、合同签订、调研实施等阶段，全程将绩效目标管理作为导向把控，合理铺排项目，倒排工期，高效保质的做好项目管理。二是及时与项目编制单位、相关部门、各区县进行沟通，加强调研，保障项目的进度和效果，确保项目产出数量和质量。三是坚持问题导向，调动项目编制单位的积极性，主动征求各相关部门的意见，通过专家评审、问卷调查、满意度测评等多种方式，提高规划编制成果的科学性、落地性和可操作性，确实提高项目的规划社会效益和群众满意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加强项目资金的管理。一是严格按照市城乡规划管理局财务制度、资金管理办法、三重一大、党组会议等制度和要求，执行资金使用管理的相关规定。二是严格按照合同约定，根据实际的工作量进行费用结算，保障财政资金使用的效率。三是提高工作质量，效益，避免返工，节约财政资金使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社会效益指标中“规划工作社会影响”指标设置的过于笼统，不够具体化，针对性不强，导致短期内难以见效，无法进行量化和准确评价。主要原因是规划成果社会效益的体现，有赖于具体建设项目在实施过程中完全准确落实规划意图，是一个长期坚持，不断推进完善，多部门配合协作的过程。</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绩效目标贯穿项目实施的整个周期，指导着项目的发展方向：绩效指标是绩效目标的具体化对项目实施的各个阶段起着考核、监督、引导的作用。我单位在以后将从以下几个方面做好绩效考核工作。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结合项目实施内容及特点，特别是根据规划编制项目的特点，设定既切实可行的项目总目标、年度绩效目标及绩效指标，形成项目有目标、工作有计划、绩效可量化、考核有依据的计划目标管理机制，便于有效考核执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二是进一步加强资金管理，严格落实局“三重一大”制度和财务管理制度，确保财政资金高效合理利用。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三是严格绩效管理，统筹协调好各部门和项目编制单位，把控好进度、数量、质量，确保项目能如期实现预期目标，并积极配合财政等部门做好绩效评价工作。</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B7A0E5F"/>
    <w:rsid w:val="3CE21B3C"/>
    <w:rsid w:val="4D2606A1"/>
    <w:rsid w:val="51830480"/>
    <w:rsid w:val="53A616BE"/>
    <w:rsid w:val="54662BFB"/>
    <w:rsid w:val="62051CA5"/>
    <w:rsid w:val="6C3A69EF"/>
    <w:rsid w:val="7DB12889"/>
    <w:rsid w:val="7E03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Words>
  <Characters>588</Characters>
  <Lines>4</Lines>
  <Paragraphs>1</Paragraphs>
  <TotalTime>171</TotalTime>
  <ScaleCrop>false</ScaleCrop>
  <LinksUpToDate>false</LinksUpToDate>
  <CharactersWithSpaces>689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zami，</cp:lastModifiedBy>
  <cp:lastPrinted>2018-12-31T10:56:00Z</cp:lastPrinted>
  <dcterms:modified xsi:type="dcterms:W3CDTF">2024-05-24T08:00:32Z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C734C92AAAF24344A0E4232D8EB3359B</vt:lpwstr>
  </property>
</Properties>
</file>