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1"/>
        <w:rPr>
          <w:rFonts w:hint="default" w:ascii="方正仿宋_GBK" w:hAnsi="方正仿宋_GBK" w:eastAsia="方正仿宋_GBK" w:cs="方正仿宋_GBK"/>
          <w:spacing w:val="-12"/>
          <w:sz w:val="32"/>
          <w:szCs w:val="32"/>
          <w:lang w:val="en-US" w:eastAsia="zh-CN"/>
        </w:rPr>
      </w:pPr>
      <w:r>
        <w:rPr>
          <w:rFonts w:hint="eastAsia" w:ascii="方正仿宋_GBK" w:hAnsi="方正仿宋_GBK" w:eastAsia="方正仿宋_GBK" w:cs="方正仿宋_GBK"/>
          <w:spacing w:val="-12"/>
          <w:sz w:val="32"/>
          <w:szCs w:val="32"/>
          <w:lang w:val="en-US" w:eastAsia="zh-CN"/>
        </w:rPr>
        <w:t>附件</w:t>
      </w:r>
      <w:r>
        <w:rPr>
          <w:rFonts w:hint="default" w:ascii="Times New Roman" w:hAnsi="Times New Roman" w:eastAsia="方正仿宋_GBK" w:cs="Times New Roman"/>
          <w:spacing w:val="-12"/>
          <w:sz w:val="32"/>
          <w:szCs w:val="32"/>
          <w:lang w:val="en-US" w:eastAsia="zh-CN"/>
        </w:rPr>
        <w:t>8</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不合格项目小知识</w:t>
      </w:r>
    </w:p>
    <w:p>
      <w:pPr>
        <w:numPr>
          <w:ilvl w:val="0"/>
          <w:numId w:val="0"/>
        </w:numPr>
        <w:ind w:firstLine="640" w:firstLineChars="200"/>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pPr>
      <w:r>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t>铝的残留量（干样品，以Al计）</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i w:val="0"/>
          <w:iCs w:val="0"/>
          <w:caps w:val="0"/>
          <w:spacing w:val="5"/>
          <w:sz w:val="32"/>
          <w:szCs w:val="32"/>
          <w:shd w:val="clear" w:fill="FFFFFF"/>
        </w:rPr>
        <w:t>硫酸铝钾（又名钾明矾）、硫酸铝铵（又名铵明矾）是食品加工中常用的膨松剂和稳定剂，使用后会产生铝残留。含铝食品添加剂按标准使用不会对健康造成危害，但长期食用铝超标的食品会导致运动和学习记忆能力下降。《食品安全国家标准 食品添加剂使用标准》（GB 2760—2014）中规定，油炸面制品中铝的最大残留限量值（干样品，以Al计）为100mg/kg。油炸面制品中铝的残留量（干样品，以Al计）超标的原因，可能是个别商家为增加产品口感，在生产加工过程中超限量使用含铝食品添加剂，或者其使用的复配添加剂中铝含量过高。</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pPr>
      <w:r>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t>大肠菌群</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default" w:ascii="Times New Roman" w:hAnsi="Times New Roman" w:eastAsia="方正仿宋_GBK" w:cs="Times New Roman"/>
          <w:i w:val="0"/>
          <w:iCs w:val="0"/>
          <w:caps w:val="0"/>
          <w:spacing w:val="5"/>
          <w:sz w:val="32"/>
          <w:szCs w:val="32"/>
          <w:shd w:val="clear" w:fill="FFFFFF"/>
          <w:lang w:val="en-US" w:eastAsia="zh-CN"/>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食品中大肠菌群数超标的原因，可能是产品的加工原料、包装材料受污染，也可能是产品在生产过程中受人员、工器具等的污染，还可能是灭菌工艺灭菌不彻底导致的。</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pPr>
      <w:r>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t>铅(以Pb计)</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pPr>
      <w:r>
        <w:rPr>
          <w:rFonts w:hint="default" w:ascii="Times New Roman" w:hAnsi="Times New Roman" w:eastAsia="方正仿宋_GBK" w:cs="Times New Roman"/>
          <w:i w:val="0"/>
          <w:iCs w:val="0"/>
          <w:caps w:val="0"/>
          <w:spacing w:val="5"/>
          <w:sz w:val="32"/>
          <w:szCs w:val="32"/>
          <w:shd w:val="clear" w:fill="FFFFFF"/>
          <w:lang w:val="en-US" w:eastAsia="zh-CN"/>
        </w:rPr>
        <w:t>铅是最常见的重金属污染物，是一种严重危害人体健康的重金属元素，可在人体内蓄积。长期摄入铅含量超标的食品，会对血液系统、神经系统产生损害。《食品安全国家标准 食品中污染物限量》（GB 2762—2017）中规定，铅（以Pb计）在藻类及其制品（螺旋藻及其制品除外）中的最大限量值为1.0mg/kg（以干重计）。藻类干制品中铅（以Pb计）检测值超标的原因，可能是生产企业使用的原料中铅含量超标，也可能是生产设备或包装材料中的铅迁移带入。《食品安全国家标准 食品中污染物限量》（GB 2762—2017）中规定，铅（以Pb计）在新鲜蔬菜（芸薹类蔬菜、叶菜蔬菜、豆类蔬菜、薯类除外）中的限量值为0.1mg/kg。2021年抽检超标蔬菜主要有韭菜、姜、蔬菜干制品、酱腌菜，铅（以Pb计）检测值超标的原因，可能是生产企业使用的蔬菜原料中铅含量超标，也可能是生产设备或包装材料中的铅迁移带入。《脱水蔬菜 叶菜类》（NY/T 960—2006）中规定，铅（以Pb计）最大限量值为0.2mg/kg。蔬菜干制品中铅（以Pb计）检测值超标的原因，可能是生产企业使用的蔬菜原料中铅含量超标，也可能是生产设备或包装材料中的铅迁移带入。</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pPr>
      <w:r>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t>阴离子合成洗涤剂</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default" w:ascii="Times New Roman" w:hAnsi="Times New Roman" w:eastAsia="方正仿宋_GBK" w:cs="Times New Roman"/>
          <w:i w:val="0"/>
          <w:iCs w:val="0"/>
          <w:caps w:val="0"/>
          <w:spacing w:val="5"/>
          <w:sz w:val="32"/>
          <w:szCs w:val="32"/>
          <w:shd w:val="clear" w:fill="FFFFFF"/>
          <w:lang w:val="en-US" w:eastAsia="zh-CN"/>
        </w:rPr>
        <w:t>阴离子合成洗涤剂包括我们日常生活中经常用到的洗衣粉、洗洁精、洗衣液、肥皂等洗涤剂，其主要成分十二烷基磺酸钠，具有使用方便、易溶解、稳定性好、成本低等优点，在日常生活中广泛使用。十二烷基磺酸钠是一种低毒物质，对皮肤、肝脏、血液系统等有慢性毒害作用。餐具中阴离子合成洗涤剂不合格的原因，可能是清洗餐具所用洗涤剂、消毒剂不合格、未彻底冲洗干净或餐具数量过多，洗涤剂、消毒剂浸泡餐具重复使用，造成交叉污染。</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pPr>
      <w:r>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t>甲氧苄啶</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default" w:ascii="Times New Roman" w:hAnsi="Times New Roman" w:eastAsia="方正仿宋_GBK" w:cs="Times New Roman"/>
          <w:i w:val="0"/>
          <w:iCs w:val="0"/>
          <w:caps w:val="0"/>
          <w:spacing w:val="5"/>
          <w:sz w:val="32"/>
          <w:szCs w:val="32"/>
          <w:shd w:val="clear" w:fill="FFFFFF"/>
          <w:lang w:val="en-US" w:eastAsia="zh-CN"/>
        </w:rPr>
        <w:t>甲氧苄啶为抗菌增效剂，常与磺胺类药物一起使用。长期食用甲氧苄啶超标的食品，可能会引起恶心、呕吐等症状。《食品安全国家标准 食品中兽药最大残留限量》（GB 31650—2019）中规定，甲氧苄啶在家禽肌肉中最大残留限量值为50μg/kg。鸡肉中甲氧苄啶残留量超标的原因，可能是在养殖过程中为快速控制疫病，违规加大用药量或不遵守休药期规定，致使上市销售产品中的药物残留量超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520" w:lineRule="exact"/>
        <w:ind w:right="0" w:firstLine="640" w:firstLineChars="200"/>
        <w:jc w:val="both"/>
        <w:textAlignment w:val="auto"/>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黑体" w:cs="Times New Roman"/>
          <w:b w:val="0"/>
          <w:bCs w:val="0"/>
          <w:i w:val="0"/>
          <w:iCs w:val="0"/>
          <w:caps w:val="0"/>
          <w:color w:val="000000"/>
          <w:spacing w:val="0"/>
          <w:kern w:val="2"/>
          <w:sz w:val="32"/>
          <w:szCs w:val="32"/>
          <w:shd w:val="clear" w:fill="FFFFFF"/>
          <w:lang w:val="en-US" w:eastAsia="zh-CN" w:bidi="ar-SA"/>
        </w:rPr>
        <w:t>六、</w:t>
      </w:r>
      <w:r>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t>脱氢乙酸及其钠盐（以脱氢乙酸计）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520" w:lineRule="exact"/>
        <w:ind w:right="0" w:firstLine="660" w:firstLineChars="200"/>
        <w:jc w:val="both"/>
        <w:textAlignment w:val="auto"/>
        <w:rPr>
          <w:rFonts w:hint="default" w:ascii="Times New Roman" w:hAnsi="Times New Roman" w:eastAsia="方正仿宋_GBK" w:cs="Times New Roman"/>
          <w:i w:val="0"/>
          <w:iCs w:val="0"/>
          <w:caps w:val="0"/>
          <w:spacing w:val="5"/>
          <w:kern w:val="2"/>
          <w:sz w:val="32"/>
          <w:szCs w:val="32"/>
          <w:shd w:val="clear" w:fill="FFFFFF"/>
          <w:lang w:val="en-US" w:eastAsia="zh-CN" w:bidi="ar-SA"/>
        </w:rPr>
      </w:pPr>
      <w:r>
        <w:rPr>
          <w:rFonts w:hint="eastAsia" w:ascii="Times New Roman" w:hAnsi="Times New Roman" w:eastAsia="方正仿宋_GBK" w:cs="Times New Roman"/>
          <w:i w:val="0"/>
          <w:iCs w:val="0"/>
          <w:caps w:val="0"/>
          <w:spacing w:val="5"/>
          <w:kern w:val="2"/>
          <w:sz w:val="32"/>
          <w:szCs w:val="32"/>
          <w:shd w:val="clear" w:fill="FFFFFF"/>
          <w:lang w:val="en-US" w:eastAsia="zh-CN" w:bidi="ar-SA"/>
        </w:rPr>
        <w:t>脱氢乙酸及其钠盐是一种常见的广谱性食品防腐剂，对霉菌和酵母有较好的抑制作用。脱氢乙酸及其钠盐能被人体迅速吸收，并分布于血液和多个器官中，长期食用脱氢乙酸及其钠盐超标的食品会危害人体健康。</w:t>
      </w:r>
      <w:r>
        <w:rPr>
          <w:rFonts w:hint="default" w:ascii="Times New Roman" w:hAnsi="Times New Roman" w:eastAsia="方正仿宋_GBK" w:cs="Times New Roman"/>
          <w:i w:val="0"/>
          <w:iCs w:val="0"/>
          <w:caps w:val="0"/>
          <w:spacing w:val="5"/>
          <w:kern w:val="2"/>
          <w:sz w:val="32"/>
          <w:szCs w:val="32"/>
          <w:shd w:val="clear" w:fill="FFFFFF"/>
          <w:lang w:val="en-US" w:eastAsia="zh-CN" w:bidi="ar-SA"/>
        </w:rPr>
        <w:t>《食品安全国家标准 食品添加剂使用标准》（GB 2760—2014）中规定，糕点中脱氢乙酸及其钠盐（以脱氢乙酸计）最大使用量为0.5g/kg。糕点中脱氢乙酸及其钠盐（以脱氢乙酸计）检测值超标的原因，可能是生产企业为防止食品腐败变质超限量使用了该食品添加剂，也可能是其使用的复配添加剂中该添加剂含量较高，还可能是在添加过程中未准确计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520" w:lineRule="exact"/>
        <w:ind w:right="0" w:firstLine="640" w:firstLineChars="200"/>
        <w:jc w:val="both"/>
        <w:textAlignment w:val="auto"/>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黑体" w:cs="Times New Roman"/>
          <w:b w:val="0"/>
          <w:bCs w:val="0"/>
          <w:i w:val="0"/>
          <w:iCs w:val="0"/>
          <w:caps w:val="0"/>
          <w:color w:val="000000"/>
          <w:spacing w:val="0"/>
          <w:kern w:val="2"/>
          <w:sz w:val="32"/>
          <w:szCs w:val="32"/>
          <w:shd w:val="clear" w:fill="FFFFFF"/>
          <w:lang w:val="en-US" w:eastAsia="zh-CN" w:bidi="ar-SA"/>
        </w:rPr>
        <w:t>七、</w:t>
      </w:r>
      <w:r>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t>防腐剂混合使用时各自用量占其最大使用量的比例之和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520" w:lineRule="exact"/>
        <w:ind w:right="0" w:firstLine="660" w:firstLineChars="200"/>
        <w:jc w:val="both"/>
        <w:textAlignment w:val="auto"/>
        <w:rPr>
          <w:rFonts w:hint="default" w:ascii="Times New Roman" w:hAnsi="Times New Roman" w:eastAsia="方正仿宋_GBK" w:cs="Times New Roman"/>
          <w:i w:val="0"/>
          <w:iCs w:val="0"/>
          <w:caps w:val="0"/>
          <w:spacing w:val="5"/>
          <w:kern w:val="2"/>
          <w:sz w:val="32"/>
          <w:szCs w:val="32"/>
          <w:shd w:val="clear" w:fill="FFFFFF"/>
          <w:lang w:val="en-US" w:eastAsia="zh-CN" w:bidi="ar-SA"/>
        </w:rPr>
      </w:pPr>
      <w:r>
        <w:rPr>
          <w:rFonts w:hint="default" w:ascii="Times New Roman" w:hAnsi="Times New Roman" w:eastAsia="方正仿宋_GBK" w:cs="Times New Roman"/>
          <w:i w:val="0"/>
          <w:iCs w:val="0"/>
          <w:caps w:val="0"/>
          <w:spacing w:val="5"/>
          <w:kern w:val="2"/>
          <w:sz w:val="32"/>
          <w:szCs w:val="32"/>
          <w:shd w:val="clear" w:fill="FFFFFF"/>
          <w:lang w:val="en-US" w:eastAsia="zh-CN" w:bidi="ar-SA"/>
        </w:rPr>
        <w:t>防腐剂是常见的食品添加剂，指天然或合成的化学成分，用于延缓或抑制由微生物引起的食品腐败变质。长期食用防腐剂超标的食品会对人体健康造成损害。《食品安全国家标准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防腐剂混合使用时各自用量占其最大使用量的比例之和检测值超标的原因，可能是生产企业在生产加工过程中未严格控制各防腐剂的用量造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520" w:lineRule="exact"/>
        <w:ind w:right="0" w:firstLine="640" w:firstLineChars="200"/>
        <w:jc w:val="both"/>
        <w:textAlignment w:val="auto"/>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黑体" w:cs="Times New Roman"/>
          <w:b w:val="0"/>
          <w:bCs w:val="0"/>
          <w:i w:val="0"/>
          <w:iCs w:val="0"/>
          <w:caps w:val="0"/>
          <w:color w:val="000000"/>
          <w:spacing w:val="0"/>
          <w:kern w:val="2"/>
          <w:sz w:val="32"/>
          <w:szCs w:val="32"/>
          <w:shd w:val="clear" w:fill="FFFFFF"/>
          <w:lang w:val="en-US" w:eastAsia="zh-CN" w:bidi="ar-SA"/>
        </w:rPr>
        <w:t>八、</w:t>
      </w:r>
      <w:r>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t>酸价（以脂肪计）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520" w:lineRule="exact"/>
        <w:ind w:right="0" w:firstLine="660" w:firstLineChars="200"/>
        <w:jc w:val="both"/>
        <w:textAlignment w:val="auto"/>
        <w:rPr>
          <w:rFonts w:hint="default" w:ascii="Times New Roman" w:hAnsi="Times New Roman" w:eastAsia="方正仿宋_GBK" w:cs="Times New Roman"/>
          <w:i w:val="0"/>
          <w:iCs w:val="0"/>
          <w:caps w:val="0"/>
          <w:spacing w:val="5"/>
          <w:kern w:val="2"/>
          <w:sz w:val="32"/>
          <w:szCs w:val="32"/>
          <w:shd w:val="clear" w:fill="FFFFFF"/>
          <w:lang w:val="en-US" w:eastAsia="zh-CN" w:bidi="ar-SA"/>
        </w:rPr>
      </w:pPr>
      <w:bookmarkStart w:id="0" w:name="_GoBack"/>
      <w:r>
        <w:rPr>
          <w:rFonts w:hint="default" w:ascii="Times New Roman" w:hAnsi="Times New Roman" w:eastAsia="方正仿宋_GBK" w:cs="Times New Roman"/>
          <w:i w:val="0"/>
          <w:iCs w:val="0"/>
          <w:caps w:val="0"/>
          <w:spacing w:val="5"/>
          <w:kern w:val="2"/>
          <w:sz w:val="32"/>
          <w:szCs w:val="32"/>
          <w:shd w:val="clear" w:fill="FFFFFF"/>
          <w:lang w:val="en-US" w:eastAsia="zh-CN" w:bidi="ar-SA"/>
        </w:rPr>
        <w:t>酸价，又称酸值，主要反映食品中的油脂酸败程度。酸价超标会导致食品有哈喇味，超标严重时所产生的醛、酮、酸会破坏脂溶性维生素，导致肠胃不适。《食品安全国家标准糕点、面包》（GB 7099—2015）中规定，糕点中酸价（以脂肪计）的最大限量值为5mg/g。</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420"/>
        <w:jc w:val="both"/>
        <w:rPr>
          <w:rFonts w:hint="eastAsia" w:ascii="Times New Roman" w:hAnsi="Times New Roman" w:eastAsia="方正仿宋_GBK" w:cs="Times New Roman"/>
          <w:i w:val="0"/>
          <w:iCs w:val="0"/>
          <w:caps w:val="0"/>
          <w:spacing w:val="5"/>
          <w:kern w:val="2"/>
          <w:sz w:val="36"/>
          <w:szCs w:val="36"/>
          <w:shd w:val="clear" w:fill="FFFFFF"/>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420"/>
        <w:jc w:val="both"/>
        <w:rPr>
          <w:rFonts w:hint="eastAsia" w:ascii="Times New Roman" w:hAnsi="Times New Roman" w:eastAsia="方正仿宋_GBK" w:cs="Times New Roman"/>
          <w:i w:val="0"/>
          <w:iCs w:val="0"/>
          <w:caps w:val="0"/>
          <w:spacing w:val="5"/>
          <w:kern w:val="2"/>
          <w:sz w:val="32"/>
          <w:szCs w:val="32"/>
          <w:shd w:val="clear" w:fill="FFFFFF"/>
          <w:lang w:val="en-US" w:eastAsia="zh-CN" w:bidi="ar-SA"/>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645C3"/>
    <w:multiLevelType w:val="singleLevel"/>
    <w:tmpl w:val="E95645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WI3ZGJlYTViMWYyODQ4ZDc0MjQ2Mjc4M2U3NDYifQ=="/>
  </w:docVars>
  <w:rsids>
    <w:rsidRoot w:val="0117355A"/>
    <w:rsid w:val="0117355A"/>
    <w:rsid w:val="0327653E"/>
    <w:rsid w:val="074402CA"/>
    <w:rsid w:val="0E6F10BC"/>
    <w:rsid w:val="287265EE"/>
    <w:rsid w:val="4CF64F9B"/>
    <w:rsid w:val="7C5B4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adjustRightInd w:val="0"/>
      <w:ind w:left="0" w:leftChars="0" w:firstLine="880" w:firstLineChars="200"/>
    </w:pPr>
    <w:rPr>
      <w:rFonts w:ascii="Calibri" w:hAnsi="Calibri" w:eastAsia="仿宋" w:cs="Times New Roman"/>
      <w:sz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2023-11-24T08:42:00Z</dcterms:created>
  <dc:creator>&amp;</dc:creator>
  <cp:lastModifiedBy>&amp;</cp:lastModifiedBy>
  <dcterms:modified xsi:type="dcterms:W3CDTF">2023-11-28T04:51:26Z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FDF21C9A58B64C2F8923ACA590D3E3E6_11</vt:lpwstr>
  </property>
</Properties>
</file>