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8" w:rsidRDefault="008E15D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202</w:t>
      </w:r>
      <w:r w:rsidR="009E18DB">
        <w:rPr>
          <w:rFonts w:ascii="Times New Roman" w:eastAsia="方正小标宋简体" w:hAnsi="Times New Roman" w:cs="Times New Roman" w:hint="eastAsia"/>
          <w:sz w:val="40"/>
          <w:szCs w:val="40"/>
        </w:rPr>
        <w:t>3</w:t>
      </w:r>
      <w:r>
        <w:rPr>
          <w:rFonts w:ascii="Times New Roman" w:eastAsia="方正小标宋简体" w:hAnsi="Times New Roman" w:cs="Times New Roman"/>
          <w:sz w:val="40"/>
          <w:szCs w:val="40"/>
        </w:rPr>
        <w:t>年</w:t>
      </w:r>
      <w:r w:rsidR="003D2BC7">
        <w:rPr>
          <w:rFonts w:ascii="Times New Roman" w:eastAsia="方正小标宋简体" w:hAnsi="Times New Roman" w:cs="Times New Roman"/>
          <w:sz w:val="40"/>
          <w:szCs w:val="40"/>
        </w:rPr>
        <w:t>度</w:t>
      </w:r>
      <w:r w:rsidR="003D2BC7">
        <w:rPr>
          <w:rFonts w:ascii="Times New Roman" w:eastAsia="方正小标宋简体" w:hAnsi="Times New Roman" w:cs="Times New Roman" w:hint="eastAsia"/>
          <w:sz w:val="40"/>
          <w:szCs w:val="40"/>
        </w:rPr>
        <w:t>乌鲁木齐市</w:t>
      </w:r>
      <w:r w:rsidR="003D2BC7">
        <w:rPr>
          <w:rFonts w:ascii="Times New Roman" w:eastAsia="方正小标宋简体" w:hAnsi="Times New Roman" w:cs="Times New Roman"/>
          <w:sz w:val="40"/>
          <w:szCs w:val="40"/>
        </w:rPr>
        <w:t>政府债务</w:t>
      </w:r>
    </w:p>
    <w:p w:rsidR="00971D58" w:rsidRDefault="003D2BC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决算</w:t>
      </w:r>
      <w:r>
        <w:rPr>
          <w:rFonts w:ascii="Times New Roman" w:eastAsia="方正小标宋简体" w:hAnsi="Times New Roman" w:cs="Times New Roman"/>
          <w:sz w:val="40"/>
          <w:szCs w:val="40"/>
        </w:rPr>
        <w:t>情况说明</w:t>
      </w:r>
    </w:p>
    <w:p w:rsidR="00971D58" w:rsidRDefault="00971D58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971D58" w:rsidRDefault="003D2BC7">
      <w:pPr>
        <w:adjustRightInd w:val="0"/>
        <w:snapToGrid w:val="0"/>
        <w:spacing w:line="5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</w:t>
      </w:r>
      <w:r w:rsidR="008E15D2">
        <w:rPr>
          <w:rFonts w:ascii="Times New Roman" w:eastAsia="黑体" w:hAnsi="Times New Roman" w:cs="Times New Roman"/>
          <w:sz w:val="30"/>
          <w:szCs w:val="30"/>
        </w:rPr>
        <w:t>202</w:t>
      </w:r>
      <w:r w:rsidR="009E18DB">
        <w:rPr>
          <w:rFonts w:ascii="Times New Roman" w:eastAsia="黑体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黑体" w:hAnsi="Times New Roman" w:cs="Times New Roman"/>
          <w:sz w:val="30"/>
          <w:szCs w:val="30"/>
        </w:rPr>
        <w:t>年</w:t>
      </w:r>
      <w:r>
        <w:rPr>
          <w:rFonts w:ascii="Times New Roman" w:eastAsia="黑体" w:hAnsi="Times New Roman" w:cs="Times New Roman"/>
          <w:sz w:val="30"/>
          <w:szCs w:val="30"/>
        </w:rPr>
        <w:t>度政府债务限额总体情况</w:t>
      </w:r>
    </w:p>
    <w:p w:rsidR="00971D58" w:rsidRDefault="008E15D2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 w:rsidR="009E18DB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度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政府债务限额总额为</w:t>
      </w:r>
      <w:r w:rsidR="009E18DB" w:rsidRPr="009E18DB">
        <w:rPr>
          <w:rFonts w:ascii="Times New Roman" w:eastAsia="仿宋_GB2312" w:hAnsi="Times New Roman" w:cs="Times New Roman"/>
          <w:sz w:val="30"/>
          <w:szCs w:val="30"/>
        </w:rPr>
        <w:t>1,653.99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乌鲁木齐市本级（含甘泉堡）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政府债务限额为</w:t>
      </w:r>
      <w:r w:rsidR="009E18DB" w:rsidRPr="009E18DB">
        <w:rPr>
          <w:rFonts w:ascii="Times New Roman" w:eastAsia="仿宋_GB2312" w:hAnsi="Times New Roman" w:cs="Times New Roman"/>
          <w:sz w:val="30"/>
          <w:szCs w:val="30"/>
        </w:rPr>
        <w:t>985.77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亿元，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政府债务限额为</w:t>
      </w:r>
      <w:r w:rsidR="009E18DB" w:rsidRPr="009E18DB">
        <w:rPr>
          <w:rFonts w:ascii="Times New Roman" w:eastAsia="仿宋_GB2312" w:hAnsi="Times New Roman" w:cs="Times New Roman"/>
          <w:sz w:val="30"/>
          <w:szCs w:val="30"/>
        </w:rPr>
        <w:t>668.22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Default="003D2BC7">
      <w:pPr>
        <w:adjustRightInd w:val="0"/>
        <w:snapToGrid w:val="0"/>
        <w:spacing w:line="500" w:lineRule="exact"/>
        <w:ind w:firstLineChars="200" w:firstLine="602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（一）</w:t>
      </w:r>
      <w:r>
        <w:rPr>
          <w:rFonts w:ascii="Times New Roman" w:eastAsia="楷体_GB2312" w:hAnsi="Times New Roman" w:cs="Times New Roman" w:hint="eastAsia"/>
          <w:b/>
          <w:bCs/>
          <w:sz w:val="30"/>
          <w:szCs w:val="30"/>
        </w:rPr>
        <w:t>政府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债务限额分类型情况。</w:t>
      </w:r>
    </w:p>
    <w:p w:rsidR="00971D58" w:rsidRDefault="003D2BC7" w:rsidP="009E18DB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一般债务限额总额情况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9E18DB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政府一般债务限额总额</w:t>
      </w:r>
      <w:r w:rsidR="009E18DB" w:rsidRPr="009E18DB">
        <w:rPr>
          <w:rFonts w:ascii="Times New Roman" w:eastAsia="仿宋_GB2312" w:hAnsi="Times New Roman" w:cs="Times New Roman"/>
          <w:sz w:val="30"/>
          <w:szCs w:val="30"/>
        </w:rPr>
        <w:t>512.96</w:t>
      </w:r>
      <w:r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政府一般债务限额为</w:t>
      </w:r>
      <w:r w:rsidR="009E18DB" w:rsidRPr="009E18DB">
        <w:rPr>
          <w:rFonts w:ascii="Times New Roman" w:eastAsia="仿宋_GB2312" w:hAnsi="Times New Roman" w:cs="Times New Roman"/>
          <w:sz w:val="30"/>
          <w:szCs w:val="30"/>
        </w:rPr>
        <w:t>283.73</w:t>
      </w:r>
      <w:r>
        <w:rPr>
          <w:rFonts w:ascii="Times New Roman" w:eastAsia="仿宋_GB2312" w:hAnsi="Times New Roman" w:cs="Times New Roman"/>
          <w:sz w:val="30"/>
          <w:szCs w:val="30"/>
        </w:rPr>
        <w:t>亿元，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政府一般债务限额为</w:t>
      </w:r>
      <w:r w:rsidR="009E18DB" w:rsidRPr="009E18DB">
        <w:rPr>
          <w:rFonts w:ascii="Times New Roman" w:eastAsia="仿宋_GB2312" w:hAnsi="Times New Roman" w:cs="Times New Roman"/>
          <w:sz w:val="30"/>
          <w:szCs w:val="30"/>
        </w:rPr>
        <w:t>229.23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Default="003D2BC7" w:rsidP="003B097E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专项债务限额总额情况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3B097E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政府专项债务限额总额为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1,141.03</w:t>
      </w:r>
      <w:r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政府专项债务限额为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702.04</w:t>
      </w:r>
      <w:r>
        <w:rPr>
          <w:rFonts w:ascii="Times New Roman" w:eastAsia="仿宋_GB2312" w:hAnsi="Times New Roman" w:cs="Times New Roman"/>
          <w:sz w:val="30"/>
          <w:szCs w:val="30"/>
        </w:rPr>
        <w:t>亿元，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政府专项债务限额为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438.99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Pr="00AF1B15" w:rsidRDefault="003D2BC7">
      <w:pPr>
        <w:adjustRightInd w:val="0"/>
        <w:snapToGrid w:val="0"/>
        <w:spacing w:line="500" w:lineRule="exact"/>
        <w:ind w:firstLineChars="200" w:firstLine="602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B15">
        <w:rPr>
          <w:rFonts w:ascii="楷体_GB2312" w:eastAsia="楷体_GB2312" w:hAnsi="楷体_GB2312" w:cs="楷体_GB2312"/>
          <w:b/>
          <w:bCs/>
          <w:sz w:val="30"/>
          <w:szCs w:val="30"/>
        </w:rPr>
        <w:t>（二）新增债务限额情况</w:t>
      </w:r>
      <w:r w:rsidRPr="00AF1B15"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。</w:t>
      </w:r>
    </w:p>
    <w:p w:rsidR="00971D58" w:rsidRPr="00AF1B15" w:rsidRDefault="003D2BC7" w:rsidP="00AF1B15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AF1B15">
        <w:rPr>
          <w:rFonts w:ascii="Times New Roman" w:eastAsia="仿宋_GB2312" w:hAnsi="Times New Roman" w:cs="Times New Roman"/>
          <w:b/>
          <w:bCs/>
          <w:sz w:val="30"/>
          <w:szCs w:val="30"/>
        </w:rPr>
        <w:t>1.</w:t>
      </w:r>
      <w:r w:rsidRPr="00AF1B15">
        <w:rPr>
          <w:rFonts w:ascii="Times New Roman" w:eastAsia="仿宋_GB2312" w:hAnsi="Times New Roman" w:cs="Times New Roman"/>
          <w:b/>
          <w:bCs/>
          <w:sz w:val="30"/>
          <w:szCs w:val="30"/>
        </w:rPr>
        <w:t>新增一般债务限额情况</w:t>
      </w:r>
      <w:r w:rsidRPr="00AF1B15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 w:rsidR="008E15D2" w:rsidRPr="00AF1B15">
        <w:rPr>
          <w:rFonts w:ascii="Times New Roman" w:eastAsia="仿宋_GB2312" w:hAnsi="Times New Roman" w:cs="Times New Roman"/>
          <w:sz w:val="30"/>
          <w:szCs w:val="30"/>
        </w:rPr>
        <w:t>202</w:t>
      </w:r>
      <w:r w:rsidR="003B097E" w:rsidRPr="00AF1B15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 w:rsidRPr="00AF1B15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度</w:t>
      </w:r>
      <w:r w:rsidRPr="00AF1B15"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政府新增一般债务限额总额</w:t>
      </w:r>
      <w:r w:rsidR="00AF1B15" w:rsidRPr="00AF1B15">
        <w:rPr>
          <w:rFonts w:ascii="Times New Roman" w:eastAsia="仿宋_GB2312" w:hAnsi="Times New Roman" w:cs="Times New Roman"/>
          <w:sz w:val="30"/>
          <w:szCs w:val="30"/>
        </w:rPr>
        <w:t>23.90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 w:rsidR="008E15D2" w:rsidRPr="00AF1B15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政府新增一般债务限额为</w:t>
      </w:r>
      <w:r w:rsidR="00AF1B15" w:rsidRPr="00AF1B15">
        <w:rPr>
          <w:rFonts w:ascii="Times New Roman" w:eastAsia="仿宋_GB2312" w:hAnsi="Times New Roman" w:cs="Times New Roman"/>
          <w:sz w:val="30"/>
          <w:szCs w:val="30"/>
        </w:rPr>
        <w:t>25.95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亿元，</w:t>
      </w:r>
      <w:r w:rsidRPr="00AF1B15"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政府新增一般债务限额为</w:t>
      </w:r>
      <w:r w:rsidR="00AF1B15" w:rsidRPr="00AF1B15">
        <w:rPr>
          <w:rFonts w:ascii="Times New Roman" w:eastAsia="仿宋_GB2312" w:hAnsi="Times New Roman" w:cs="Times New Roman"/>
          <w:sz w:val="30"/>
          <w:szCs w:val="30"/>
        </w:rPr>
        <w:t>-2.05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Pr="00AF1B15" w:rsidRDefault="003D2BC7" w:rsidP="00AF1B15">
      <w:pPr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AF1B15">
        <w:rPr>
          <w:rFonts w:ascii="Times New Roman" w:eastAsia="仿宋_GB2312" w:hAnsi="Times New Roman" w:cs="Times New Roman"/>
          <w:b/>
          <w:bCs/>
          <w:sz w:val="30"/>
          <w:szCs w:val="30"/>
        </w:rPr>
        <w:t>2.</w:t>
      </w:r>
      <w:r w:rsidRPr="00AF1B15">
        <w:rPr>
          <w:rFonts w:ascii="Times New Roman" w:eastAsia="仿宋_GB2312" w:hAnsi="Times New Roman" w:cs="Times New Roman"/>
          <w:b/>
          <w:bCs/>
          <w:sz w:val="30"/>
          <w:szCs w:val="30"/>
        </w:rPr>
        <w:t>新增专项债</w:t>
      </w:r>
      <w:bookmarkStart w:id="0" w:name="_GoBack"/>
      <w:bookmarkEnd w:id="0"/>
      <w:r w:rsidRPr="00AF1B15">
        <w:rPr>
          <w:rFonts w:ascii="Times New Roman" w:eastAsia="仿宋_GB2312" w:hAnsi="Times New Roman" w:cs="Times New Roman"/>
          <w:b/>
          <w:bCs/>
          <w:sz w:val="30"/>
          <w:szCs w:val="30"/>
        </w:rPr>
        <w:t>务限额情况</w:t>
      </w:r>
      <w:r w:rsidRPr="00AF1B15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 w:rsidR="008E15D2" w:rsidRPr="00AF1B15">
        <w:rPr>
          <w:rFonts w:ascii="Times New Roman" w:eastAsia="仿宋_GB2312" w:hAnsi="Times New Roman" w:cs="Times New Roman"/>
          <w:sz w:val="30"/>
          <w:szCs w:val="30"/>
        </w:rPr>
        <w:t>202</w:t>
      </w:r>
      <w:r w:rsidR="00AF1B15" w:rsidRPr="00AF1B15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 w:rsidRPr="00AF1B15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度</w:t>
      </w:r>
      <w:r w:rsidRPr="00AF1B15"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政府新增专项债务限额总额为</w:t>
      </w:r>
      <w:r w:rsidR="00AF1B15" w:rsidRPr="00AF1B15">
        <w:rPr>
          <w:rFonts w:ascii="Times New Roman" w:eastAsia="仿宋_GB2312" w:hAnsi="Times New Roman" w:cs="Times New Roman"/>
          <w:sz w:val="30"/>
          <w:szCs w:val="30"/>
        </w:rPr>
        <w:t>98.79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亿元，其中</w:t>
      </w:r>
      <w:r w:rsidRPr="00AF1B15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="008E15D2" w:rsidRPr="00AF1B15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政府新增专项债务限额为</w:t>
      </w:r>
      <w:r w:rsidR="00AF1B15" w:rsidRPr="00AF1B15">
        <w:rPr>
          <w:rFonts w:ascii="Times New Roman" w:eastAsia="仿宋_GB2312" w:hAnsi="Times New Roman" w:cs="Times New Roman" w:hint="eastAsia"/>
          <w:sz w:val="30"/>
          <w:szCs w:val="30"/>
        </w:rPr>
        <w:t>37.13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亿元，</w:t>
      </w:r>
      <w:r w:rsidRPr="00AF1B15"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新增政府专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lastRenderedPageBreak/>
        <w:t>项债</w:t>
      </w:r>
      <w:proofErr w:type="gramStart"/>
      <w:r w:rsidRPr="00AF1B15">
        <w:rPr>
          <w:rFonts w:ascii="Times New Roman" w:eastAsia="仿宋_GB2312" w:hAnsi="Times New Roman" w:cs="Times New Roman"/>
          <w:sz w:val="30"/>
          <w:szCs w:val="30"/>
        </w:rPr>
        <w:t>务</w:t>
      </w:r>
      <w:proofErr w:type="gramEnd"/>
      <w:r w:rsidRPr="00AF1B15">
        <w:rPr>
          <w:rFonts w:ascii="Times New Roman" w:eastAsia="仿宋_GB2312" w:hAnsi="Times New Roman" w:cs="Times New Roman"/>
          <w:sz w:val="30"/>
          <w:szCs w:val="30"/>
        </w:rPr>
        <w:t>限额为</w:t>
      </w:r>
      <w:r w:rsidR="00AF1B15" w:rsidRPr="00AF1B15">
        <w:rPr>
          <w:rFonts w:ascii="Times New Roman" w:eastAsia="仿宋_GB2312" w:hAnsi="Times New Roman" w:cs="Times New Roman"/>
          <w:sz w:val="30"/>
          <w:szCs w:val="30"/>
        </w:rPr>
        <w:t>61.66</w:t>
      </w:r>
      <w:r w:rsidRPr="00AF1B15"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Default="003D2BC7">
      <w:pPr>
        <w:adjustRightInd w:val="0"/>
        <w:snapToGrid w:val="0"/>
        <w:spacing w:line="5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</w:t>
      </w:r>
      <w:r w:rsidR="008E15D2">
        <w:rPr>
          <w:rFonts w:ascii="Times New Roman" w:eastAsia="黑体" w:hAnsi="Times New Roman" w:cs="Times New Roman"/>
          <w:sz w:val="30"/>
          <w:szCs w:val="30"/>
        </w:rPr>
        <w:t>202</w:t>
      </w:r>
      <w:r w:rsidR="003B097E">
        <w:rPr>
          <w:rFonts w:ascii="Times New Roman" w:eastAsia="黑体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黑体" w:hAnsi="Times New Roman" w:cs="Times New Roman"/>
          <w:sz w:val="30"/>
          <w:szCs w:val="30"/>
        </w:rPr>
        <w:t>年</w:t>
      </w:r>
      <w:r>
        <w:rPr>
          <w:rFonts w:ascii="Times New Roman" w:eastAsia="黑体" w:hAnsi="Times New Roman" w:cs="Times New Roman"/>
          <w:sz w:val="30"/>
          <w:szCs w:val="30"/>
        </w:rPr>
        <w:t>度政府债务余额</w:t>
      </w:r>
      <w:r>
        <w:rPr>
          <w:rFonts w:ascii="Times New Roman" w:eastAsia="黑体" w:hAnsi="Times New Roman" w:cs="Times New Roman" w:hint="eastAsia"/>
          <w:sz w:val="30"/>
          <w:szCs w:val="30"/>
        </w:rPr>
        <w:t>情况</w:t>
      </w:r>
    </w:p>
    <w:p w:rsidR="00971D58" w:rsidRDefault="008E15D2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 w:rsidR="003B097E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度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政府债务余额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1,532.19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亿元，政府债务余额全部严格控制在限额</w:t>
      </w:r>
      <w:r w:rsidR="003B097E" w:rsidRPr="009E18DB">
        <w:rPr>
          <w:rFonts w:ascii="Times New Roman" w:eastAsia="仿宋_GB2312" w:hAnsi="Times New Roman" w:cs="Times New Roman"/>
          <w:sz w:val="30"/>
          <w:szCs w:val="30"/>
        </w:rPr>
        <w:t>1,653.99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亿元内，其中：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政府债务余额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925.32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亿元，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政府债务余额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606.87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Default="003D2BC7" w:rsidP="003B097E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30"/>
          <w:szCs w:val="30"/>
        </w:rPr>
        <w:t>（一）一般债务余额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决算数。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3B097E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政府一般债务余额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441.17</w:t>
      </w:r>
      <w:r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政府一般债务余额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259.95</w:t>
      </w:r>
      <w:r>
        <w:rPr>
          <w:rFonts w:ascii="Times New Roman" w:eastAsia="仿宋_GB2312" w:hAnsi="Times New Roman" w:cs="Times New Roman"/>
          <w:sz w:val="30"/>
          <w:szCs w:val="30"/>
        </w:rPr>
        <w:t>亿元，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政府一般债务余额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181.22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Default="003D2BC7" w:rsidP="003B097E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30"/>
          <w:szCs w:val="30"/>
        </w:rPr>
        <w:t>（二）专项债务余额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决算数。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3B097E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政府专项债务余额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1,091.02</w:t>
      </w:r>
      <w:r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政府专项债务余额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665.37</w:t>
      </w:r>
      <w:r>
        <w:rPr>
          <w:rFonts w:ascii="Times New Roman" w:eastAsia="仿宋_GB2312" w:hAnsi="Times New Roman" w:cs="Times New Roman"/>
          <w:sz w:val="30"/>
          <w:szCs w:val="30"/>
        </w:rPr>
        <w:t>亿元，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政府专项债务余额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决算数</w:t>
      </w:r>
      <w:r>
        <w:rPr>
          <w:rFonts w:ascii="Times New Roman" w:eastAsia="仿宋_GB2312" w:hAnsi="Times New Roman" w:cs="Times New Roman"/>
          <w:sz w:val="30"/>
          <w:szCs w:val="30"/>
        </w:rPr>
        <w:t>为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425.65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971D58" w:rsidRDefault="003D2BC7">
      <w:pPr>
        <w:adjustRightInd w:val="0"/>
        <w:snapToGrid w:val="0"/>
        <w:spacing w:line="5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</w:t>
      </w:r>
      <w:r w:rsidR="008E15D2">
        <w:rPr>
          <w:rFonts w:ascii="Times New Roman" w:eastAsia="黑体" w:hAnsi="Times New Roman" w:cs="Times New Roman"/>
          <w:sz w:val="30"/>
          <w:szCs w:val="30"/>
        </w:rPr>
        <w:t>202</w:t>
      </w:r>
      <w:r w:rsidR="00DA0C81">
        <w:rPr>
          <w:rFonts w:ascii="Times New Roman" w:eastAsia="黑体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黑体" w:hAnsi="Times New Roman" w:cs="Times New Roman"/>
          <w:sz w:val="30"/>
          <w:szCs w:val="30"/>
        </w:rPr>
        <w:t>年</w:t>
      </w:r>
      <w:r>
        <w:rPr>
          <w:rFonts w:ascii="Times New Roman" w:eastAsia="黑体" w:hAnsi="Times New Roman" w:cs="Times New Roman"/>
          <w:sz w:val="30"/>
          <w:szCs w:val="30"/>
        </w:rPr>
        <w:t>度政府债券发行使用情况</w:t>
      </w:r>
    </w:p>
    <w:p w:rsidR="00971D58" w:rsidRDefault="008E15D2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 w:rsidR="00DA0C81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度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发行政府债券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296.99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亿元（新增债券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136.99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亿元、再融资债券</w:t>
      </w:r>
      <w:r w:rsidR="003B097E" w:rsidRPr="003B097E">
        <w:rPr>
          <w:rFonts w:ascii="Times New Roman" w:eastAsia="仿宋_GB2312" w:hAnsi="Times New Roman" w:cs="Times New Roman"/>
          <w:sz w:val="30"/>
          <w:szCs w:val="30"/>
        </w:rPr>
        <w:t>160.00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亿元），其中：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发行政府债券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172.69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亿元（新增债券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54.95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亿元、再融资债券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117.74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亿元），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发行政府债券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124.30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亿元（新增债券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82.04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亿元、再融资债券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42.26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亿元）。</w:t>
      </w:r>
    </w:p>
    <w:p w:rsidR="00971D58" w:rsidRDefault="003D2BC7" w:rsidP="00DA0C81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30"/>
          <w:szCs w:val="30"/>
        </w:rPr>
        <w:t>（一）新增一般债券发行使用情况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DA0C81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发行新增一般债券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3.00</w:t>
      </w:r>
      <w:r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发行新增一般债券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0.95</w:t>
      </w:r>
      <w:r>
        <w:rPr>
          <w:rFonts w:ascii="Times New Roman" w:eastAsia="仿宋_GB2312" w:hAnsi="Times New Roman" w:cs="Times New Roman"/>
          <w:sz w:val="30"/>
          <w:szCs w:val="30"/>
        </w:rPr>
        <w:t>亿元，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发行新增一般债券</w:t>
      </w:r>
      <w:r w:rsidR="00DA0C81" w:rsidRPr="00DA0C81">
        <w:rPr>
          <w:rFonts w:ascii="Times New Roman" w:eastAsia="仿宋_GB2312" w:hAnsi="Times New Roman" w:cs="Times New Roman"/>
          <w:sz w:val="30"/>
          <w:szCs w:val="30"/>
        </w:rPr>
        <w:t>2.05</w:t>
      </w:r>
      <w:r>
        <w:rPr>
          <w:rFonts w:ascii="Times New Roman" w:eastAsia="仿宋_GB2312" w:hAnsi="Times New Roman" w:cs="Times New Roman"/>
          <w:sz w:val="30"/>
          <w:szCs w:val="30"/>
        </w:rPr>
        <w:t>亿元。上述债券资金主要用于</w:t>
      </w:r>
      <w:r w:rsidR="00C86762">
        <w:rPr>
          <w:rFonts w:ascii="Times New Roman" w:eastAsia="仿宋_GB2312" w:hAnsi="Times New Roman" w:cs="Times New Roman"/>
          <w:sz w:val="30"/>
          <w:szCs w:val="30"/>
        </w:rPr>
        <w:t>社会事业、生态环保、市政和产业园区基础设施</w:t>
      </w:r>
      <w:r>
        <w:rPr>
          <w:rFonts w:ascii="Times New Roman" w:eastAsia="仿宋_GB2312" w:hAnsi="Times New Roman" w:cs="Times New Roman"/>
          <w:sz w:val="30"/>
          <w:szCs w:val="30"/>
        </w:rPr>
        <w:t>等领域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（详见附件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2-3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）。</w:t>
      </w:r>
      <w:r>
        <w:rPr>
          <w:rFonts w:ascii="Times New Roman" w:eastAsia="仿宋_GB2312" w:hAnsi="Times New Roman" w:cs="Times New Roman"/>
          <w:sz w:val="30"/>
          <w:szCs w:val="30"/>
        </w:rPr>
        <w:t>债券期限分别是</w:t>
      </w:r>
      <w:r w:rsidR="00C86762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="00C86762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5418B5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5418B5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期，债券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 w:cs="Times New Roman"/>
          <w:sz w:val="30"/>
          <w:szCs w:val="30"/>
        </w:rPr>
        <w:t>利率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 w:rsidR="00C86762">
        <w:rPr>
          <w:rFonts w:ascii="Times New Roman" w:eastAsia="仿宋_GB2312" w:hAnsi="Times New Roman" w:cs="Times New Roman" w:hint="eastAsia"/>
          <w:sz w:val="30"/>
          <w:szCs w:val="30"/>
        </w:rPr>
        <w:t>2.74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/>
          <w:sz w:val="30"/>
          <w:szCs w:val="30"/>
        </w:rPr>
        <w:t>，债券还本付息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通过一般公共预算收入偿还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71D58" w:rsidRDefault="003D2BC7" w:rsidP="00C86762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30"/>
          <w:szCs w:val="30"/>
        </w:rPr>
        <w:t>（二）新增专项债券发行使用情况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C86762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发行新增专项债券</w:t>
      </w:r>
      <w:r w:rsidR="00C86762" w:rsidRPr="00C86762">
        <w:rPr>
          <w:rFonts w:ascii="Times New Roman" w:eastAsia="仿宋_GB2312" w:hAnsi="Times New Roman" w:cs="Times New Roman"/>
          <w:sz w:val="30"/>
          <w:szCs w:val="30"/>
        </w:rPr>
        <w:t>133.99</w:t>
      </w:r>
      <w:r>
        <w:rPr>
          <w:rFonts w:ascii="Times New Roman" w:eastAsia="仿宋_GB2312" w:hAnsi="Times New Roman" w:cs="Times New Roman"/>
          <w:sz w:val="30"/>
          <w:szCs w:val="30"/>
        </w:rPr>
        <w:t>亿元，其中：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发行新增专项债券</w:t>
      </w:r>
      <w:r w:rsidR="00C86762" w:rsidRPr="00C86762">
        <w:rPr>
          <w:rFonts w:ascii="Times New Roman" w:eastAsia="仿宋_GB2312" w:hAnsi="Times New Roman" w:cs="Times New Roman"/>
          <w:sz w:val="30"/>
          <w:szCs w:val="30"/>
        </w:rPr>
        <w:t>54.00</w:t>
      </w:r>
      <w:r>
        <w:rPr>
          <w:rFonts w:ascii="Times New Roman" w:eastAsia="仿宋_GB2312" w:hAnsi="Times New Roman" w:cs="Times New Roman"/>
          <w:sz w:val="30"/>
          <w:szCs w:val="30"/>
        </w:rPr>
        <w:t>亿元，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发行新增专项债券</w:t>
      </w:r>
      <w:r w:rsidR="00C86762" w:rsidRPr="00C86762">
        <w:rPr>
          <w:rFonts w:ascii="Times New Roman" w:eastAsia="仿宋_GB2312" w:hAnsi="Times New Roman" w:cs="Times New Roman"/>
          <w:sz w:val="30"/>
          <w:szCs w:val="30"/>
        </w:rPr>
        <w:t>79.99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上述债券资金主要用于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交通基础设施、能源、生态环保、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社会事业、城乡冷链物流基础设施、市政和产业园区基础设施等重点领域。债券期限分别是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年期，债券平均利率为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2.98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%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，债券还本付息通过对应项目取得的政府性基金或专项收入等偿还。</w:t>
      </w:r>
    </w:p>
    <w:p w:rsidR="00971D58" w:rsidRDefault="003D2BC7" w:rsidP="00D74C7B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30"/>
          <w:szCs w:val="30"/>
        </w:rPr>
        <w:t>（三）再融资债券发行使用情况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发行再融资债券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160</w:t>
      </w:r>
      <w:r>
        <w:rPr>
          <w:rFonts w:ascii="Times New Roman" w:eastAsia="仿宋_GB2312" w:hAnsi="Times New Roman" w:cs="Times New Roman"/>
          <w:sz w:val="30"/>
          <w:szCs w:val="30"/>
        </w:rPr>
        <w:t>亿元（再融资一般债券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66.50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亿元、再融资专项债券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93.50</w:t>
      </w:r>
      <w:r>
        <w:rPr>
          <w:rFonts w:ascii="Times New Roman" w:eastAsia="仿宋_GB2312" w:hAnsi="Times New Roman" w:cs="Times New Roman"/>
          <w:sz w:val="30"/>
          <w:szCs w:val="30"/>
        </w:rPr>
        <w:t>亿元），其中：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发行再融资债券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117.74</w:t>
      </w:r>
      <w:r>
        <w:rPr>
          <w:rFonts w:ascii="Times New Roman" w:eastAsia="仿宋_GB2312" w:hAnsi="Times New Roman" w:cs="Times New Roman"/>
          <w:sz w:val="30"/>
          <w:szCs w:val="30"/>
        </w:rPr>
        <w:t>亿元（再融资一般债券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44.51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亿元、再融资专项债券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73.23</w:t>
      </w:r>
      <w:r>
        <w:rPr>
          <w:rFonts w:ascii="Times New Roman" w:eastAsia="仿宋_GB2312" w:hAnsi="Times New Roman" w:cs="Times New Roman"/>
          <w:sz w:val="30"/>
          <w:szCs w:val="30"/>
        </w:rPr>
        <w:t>亿元），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发行再融资债券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42.26</w:t>
      </w:r>
      <w:r>
        <w:rPr>
          <w:rFonts w:ascii="Times New Roman" w:eastAsia="仿宋_GB2312" w:hAnsi="Times New Roman" w:cs="Times New Roman"/>
          <w:sz w:val="30"/>
          <w:szCs w:val="30"/>
        </w:rPr>
        <w:t>亿元（再融资一般债券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21.99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亿元、再融资专项债券</w:t>
      </w:r>
      <w:r w:rsidR="00D74C7B" w:rsidRPr="00D74C7B">
        <w:rPr>
          <w:rFonts w:ascii="Times New Roman" w:eastAsia="仿宋_GB2312" w:hAnsi="Times New Roman" w:cs="Times New Roman"/>
          <w:sz w:val="30"/>
          <w:szCs w:val="30"/>
        </w:rPr>
        <w:t>20.27</w:t>
      </w:r>
      <w:r>
        <w:rPr>
          <w:rFonts w:ascii="Times New Roman" w:eastAsia="仿宋_GB2312" w:hAnsi="Times New Roman" w:cs="Times New Roman"/>
          <w:sz w:val="30"/>
          <w:szCs w:val="30"/>
        </w:rPr>
        <w:t>亿元）。上述债券资金全部用于偿还到期政府债券本金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债券期限分别是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年期，债券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 w:cs="Times New Roman"/>
          <w:sz w:val="30"/>
          <w:szCs w:val="30"/>
        </w:rPr>
        <w:t>利率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 w:rsidR="000539E8"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84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971D58" w:rsidRDefault="003D2BC7">
      <w:pPr>
        <w:adjustRightInd w:val="0"/>
        <w:snapToGrid w:val="0"/>
        <w:spacing w:line="5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</w:t>
      </w:r>
      <w:r w:rsidR="008E15D2">
        <w:rPr>
          <w:rFonts w:ascii="Times New Roman" w:eastAsia="黑体" w:hAnsi="Times New Roman" w:cs="Times New Roman"/>
          <w:sz w:val="30"/>
          <w:szCs w:val="30"/>
        </w:rPr>
        <w:t>202</w:t>
      </w:r>
      <w:r w:rsidR="00D74C7B">
        <w:rPr>
          <w:rFonts w:ascii="Times New Roman" w:eastAsia="黑体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黑体" w:hAnsi="Times New Roman" w:cs="Times New Roman"/>
          <w:sz w:val="30"/>
          <w:szCs w:val="30"/>
        </w:rPr>
        <w:t>年</w:t>
      </w:r>
      <w:r>
        <w:rPr>
          <w:rFonts w:ascii="Times New Roman" w:eastAsia="黑体" w:hAnsi="Times New Roman" w:cs="Times New Roman"/>
          <w:sz w:val="30"/>
          <w:szCs w:val="30"/>
        </w:rPr>
        <w:t>度政府债券还本付息情况</w:t>
      </w:r>
    </w:p>
    <w:p w:rsidR="00971D58" w:rsidRDefault="008E15D2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 w:rsidR="00D74C7B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度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政府债券还本付息总额</w:t>
      </w:r>
      <w:r w:rsidR="00C4507B">
        <w:rPr>
          <w:rFonts w:ascii="Times New Roman" w:eastAsia="仿宋_GB2312" w:hAnsi="Times New Roman" w:cs="Times New Roman" w:hint="eastAsia"/>
          <w:sz w:val="30"/>
          <w:szCs w:val="30"/>
        </w:rPr>
        <w:t>273.05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亿元（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C4507B" w:rsidRPr="00C4507B">
        <w:rPr>
          <w:rFonts w:ascii="Times New Roman" w:eastAsia="仿宋_GB2312" w:hAnsi="Times New Roman" w:cs="Times New Roman"/>
          <w:sz w:val="30"/>
          <w:szCs w:val="30"/>
        </w:rPr>
        <w:t>222.46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62.46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6B023D" w:rsidRPr="006B023D">
        <w:rPr>
          <w:rFonts w:ascii="Times New Roman" w:eastAsia="仿宋_GB2312" w:hAnsi="Times New Roman" w:cs="Times New Roman"/>
          <w:sz w:val="30"/>
          <w:szCs w:val="30"/>
        </w:rPr>
        <w:t>160.00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1E598B" w:rsidRPr="001E598B">
        <w:rPr>
          <w:rFonts w:ascii="Times New Roman" w:eastAsia="仿宋_GB2312" w:hAnsi="Times New Roman" w:cs="Times New Roman"/>
          <w:sz w:val="30"/>
          <w:szCs w:val="30"/>
        </w:rPr>
        <w:t>50.59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），其中：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政府债券还本付息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188.98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亿元（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1E598B" w:rsidRPr="001E598B">
        <w:rPr>
          <w:rFonts w:ascii="Times New Roman" w:eastAsia="仿宋_GB2312" w:hAnsi="Times New Roman" w:cs="Times New Roman"/>
          <w:sz w:val="30"/>
          <w:szCs w:val="30"/>
        </w:rPr>
        <w:t>158.46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1E598B" w:rsidRPr="001E598B">
        <w:rPr>
          <w:rFonts w:ascii="Times New Roman" w:eastAsia="仿宋_GB2312" w:hAnsi="Times New Roman" w:cs="Times New Roman"/>
          <w:sz w:val="30"/>
          <w:szCs w:val="30"/>
        </w:rPr>
        <w:t>40.72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117.74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30.52</w:t>
      </w:r>
      <w:r w:rsidR="000539E8" w:rsidRPr="000539E8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），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政府债券还本付息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84.07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亿元（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64.00</w:t>
      </w:r>
      <w:r w:rsidR="003D2BC7"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21.74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再融资债券用于还本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42.26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1E598B">
        <w:rPr>
          <w:rFonts w:ascii="Times New Roman" w:eastAsia="仿宋_GB2312" w:hAnsi="Times New Roman" w:cs="Times New Roman" w:hint="eastAsia"/>
          <w:sz w:val="30"/>
          <w:szCs w:val="30"/>
        </w:rPr>
        <w:t>20.07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 w:rsidR="003D2BC7">
        <w:rPr>
          <w:rFonts w:ascii="Times New Roman" w:eastAsia="仿宋_GB2312" w:hAnsi="Times New Roman" w:cs="Times New Roman"/>
          <w:sz w:val="30"/>
          <w:szCs w:val="30"/>
        </w:rPr>
        <w:t>）。</w:t>
      </w:r>
    </w:p>
    <w:p w:rsidR="00971D58" w:rsidRDefault="003D2BC7" w:rsidP="000619E6">
      <w:pPr>
        <w:adjustRightInd w:val="0"/>
        <w:snapToGrid w:val="0"/>
        <w:spacing w:line="500" w:lineRule="exact"/>
        <w:ind w:firstLineChars="200" w:firstLine="602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30"/>
          <w:szCs w:val="30"/>
        </w:rPr>
        <w:t>（一）一般债券还本付息情况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0619E6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政府一般债券还本付息总额</w:t>
      </w:r>
      <w:r w:rsidR="000619E6">
        <w:rPr>
          <w:rFonts w:ascii="Times New Roman" w:eastAsia="仿宋_GB2312" w:hAnsi="Times New Roman" w:cs="Times New Roman" w:hint="eastAsia"/>
          <w:sz w:val="30"/>
          <w:szCs w:val="30"/>
        </w:rPr>
        <w:t>101.15</w:t>
      </w:r>
      <w:r>
        <w:rPr>
          <w:rFonts w:ascii="Times New Roman" w:eastAsia="仿宋_GB2312" w:hAnsi="Times New Roman" w:cs="Times New Roman"/>
          <w:sz w:val="30"/>
          <w:szCs w:val="30"/>
        </w:rPr>
        <w:t>亿元（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86.10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19.60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66.50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15.05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>
        <w:rPr>
          <w:rFonts w:ascii="Times New Roman" w:eastAsia="仿宋_GB2312" w:hAnsi="Times New Roman" w:cs="Times New Roman"/>
          <w:sz w:val="30"/>
          <w:szCs w:val="30"/>
        </w:rPr>
        <w:t>），其中：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政府一般债券还本付息</w:t>
      </w:r>
      <w:r w:rsidR="000619E6">
        <w:rPr>
          <w:rFonts w:ascii="Times New Roman" w:eastAsia="仿宋_GB2312" w:hAnsi="Times New Roman" w:cs="Times New Roman" w:hint="eastAsia"/>
          <w:sz w:val="30"/>
          <w:szCs w:val="30"/>
        </w:rPr>
        <w:t>63.17</w:t>
      </w:r>
      <w:r>
        <w:rPr>
          <w:rFonts w:ascii="Times New Roman" w:eastAsia="仿宋_GB2312" w:hAnsi="Times New Roman" w:cs="Times New Roman"/>
          <w:sz w:val="30"/>
          <w:szCs w:val="30"/>
        </w:rPr>
        <w:t>亿元（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54.64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10.13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44.51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8.53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>
        <w:rPr>
          <w:rFonts w:ascii="Times New Roman" w:eastAsia="仿宋_GB2312" w:hAnsi="Times New Roman" w:cs="Times New Roman"/>
          <w:sz w:val="30"/>
          <w:szCs w:val="30"/>
        </w:rPr>
        <w:t>），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政府一般债券还本付息</w:t>
      </w:r>
      <w:r w:rsidR="000619E6">
        <w:rPr>
          <w:rFonts w:ascii="Times New Roman" w:eastAsia="仿宋_GB2312" w:hAnsi="Times New Roman" w:cs="Times New Roman" w:hint="eastAsia"/>
          <w:sz w:val="30"/>
          <w:szCs w:val="30"/>
        </w:rPr>
        <w:t>37.98</w:t>
      </w:r>
      <w:r>
        <w:rPr>
          <w:rFonts w:ascii="Times New Roman" w:eastAsia="仿宋_GB2312" w:hAnsi="Times New Roman" w:cs="Times New Roman"/>
          <w:sz w:val="30"/>
          <w:szCs w:val="30"/>
        </w:rPr>
        <w:t>亿元（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31.46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9.47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21.99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0619E6" w:rsidRPr="000619E6">
        <w:rPr>
          <w:rFonts w:ascii="Times New Roman" w:eastAsia="仿宋_GB2312" w:hAnsi="Times New Roman" w:cs="Times New Roman"/>
          <w:sz w:val="30"/>
          <w:szCs w:val="30"/>
        </w:rPr>
        <w:t>6.52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>
        <w:rPr>
          <w:rFonts w:ascii="Times New Roman" w:eastAsia="仿宋_GB2312" w:hAnsi="Times New Roman" w:cs="Times New Roman"/>
          <w:sz w:val="30"/>
          <w:szCs w:val="30"/>
        </w:rPr>
        <w:t>）。</w:t>
      </w:r>
    </w:p>
    <w:p w:rsidR="00971D58" w:rsidRDefault="003D2BC7" w:rsidP="00DD6C71">
      <w:pPr>
        <w:adjustRightInd w:val="0"/>
        <w:snapToGrid w:val="0"/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30"/>
          <w:szCs w:val="30"/>
        </w:rPr>
        <w:t>（二）专项债券还本付息情况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。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202</w:t>
      </w:r>
      <w:r w:rsidR="00DD6C71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政府专项债券还本付息总额</w:t>
      </w:r>
      <w:r w:rsidR="00DD6C71">
        <w:rPr>
          <w:rFonts w:ascii="Times New Roman" w:eastAsia="仿宋_GB2312" w:hAnsi="Times New Roman" w:cs="Times New Roman" w:hint="eastAsia"/>
          <w:sz w:val="30"/>
          <w:szCs w:val="30"/>
        </w:rPr>
        <w:t>171.90</w:t>
      </w:r>
      <w:r>
        <w:rPr>
          <w:rFonts w:ascii="Times New Roman" w:eastAsia="仿宋_GB2312" w:hAnsi="Times New Roman" w:cs="Times New Roman"/>
          <w:sz w:val="30"/>
          <w:szCs w:val="30"/>
        </w:rPr>
        <w:t>亿元（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136.36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42.86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93.50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35.54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>
        <w:rPr>
          <w:rFonts w:ascii="Times New Roman" w:eastAsia="仿宋_GB2312" w:hAnsi="Times New Roman" w:cs="Times New Roman"/>
          <w:sz w:val="30"/>
          <w:szCs w:val="30"/>
        </w:rPr>
        <w:t>），其中：</w:t>
      </w:r>
      <w:r w:rsidR="008E15D2">
        <w:rPr>
          <w:rFonts w:ascii="Times New Roman" w:eastAsia="仿宋_GB2312" w:hAnsi="Times New Roman" w:cs="Times New Roman" w:hint="eastAsia"/>
          <w:sz w:val="30"/>
          <w:szCs w:val="30"/>
        </w:rPr>
        <w:t>乌鲁木齐本级（含甘泉堡）</w:t>
      </w:r>
      <w:r>
        <w:rPr>
          <w:rFonts w:ascii="Times New Roman" w:eastAsia="仿宋_GB2312" w:hAnsi="Times New Roman" w:cs="Times New Roman"/>
          <w:sz w:val="30"/>
          <w:szCs w:val="30"/>
        </w:rPr>
        <w:t>政府专项债券还本付息</w:t>
      </w:r>
      <w:r w:rsidR="00DD6C71">
        <w:rPr>
          <w:rFonts w:ascii="Times New Roman" w:eastAsia="仿宋_GB2312" w:hAnsi="Times New Roman" w:cs="Times New Roman" w:hint="eastAsia"/>
          <w:sz w:val="30"/>
          <w:szCs w:val="30"/>
        </w:rPr>
        <w:t>125.81</w:t>
      </w:r>
      <w:r>
        <w:rPr>
          <w:rFonts w:ascii="Times New Roman" w:eastAsia="仿宋_GB2312" w:hAnsi="Times New Roman" w:cs="Times New Roman"/>
          <w:sz w:val="30"/>
          <w:szCs w:val="30"/>
        </w:rPr>
        <w:t>亿元（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103.82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30.59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73.23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21.99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>
        <w:rPr>
          <w:rFonts w:ascii="Times New Roman" w:eastAsia="仿宋_GB2312" w:hAnsi="Times New Roman" w:cs="Times New Roman"/>
          <w:sz w:val="30"/>
          <w:szCs w:val="30"/>
        </w:rPr>
        <w:t>），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所属县（市、区）</w:t>
      </w:r>
      <w:r>
        <w:rPr>
          <w:rFonts w:ascii="Times New Roman" w:eastAsia="仿宋_GB2312" w:hAnsi="Times New Roman" w:cs="Times New Roman"/>
          <w:sz w:val="30"/>
          <w:szCs w:val="30"/>
        </w:rPr>
        <w:t>政府专项债券还本付息</w:t>
      </w:r>
      <w:r w:rsidR="00DD6C71">
        <w:rPr>
          <w:rFonts w:ascii="Times New Roman" w:eastAsia="仿宋_GB2312" w:hAnsi="Times New Roman" w:cs="Times New Roman" w:hint="eastAsia"/>
          <w:sz w:val="30"/>
          <w:szCs w:val="30"/>
        </w:rPr>
        <w:t>46.09</w:t>
      </w:r>
      <w:r>
        <w:rPr>
          <w:rFonts w:ascii="Times New Roman" w:eastAsia="仿宋_GB2312" w:hAnsi="Times New Roman" w:cs="Times New Roman"/>
          <w:sz w:val="30"/>
          <w:szCs w:val="30"/>
        </w:rPr>
        <w:t>亿元（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本金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32.54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亿元，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财政预算安排还本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12.27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亿元、再融资债券用于还本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20.27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亿元、财政预算安排付息</w:t>
      </w:r>
      <w:r w:rsidR="00DD6C71" w:rsidRPr="00DD6C71">
        <w:rPr>
          <w:rFonts w:ascii="Times New Roman" w:eastAsia="仿宋_GB2312" w:hAnsi="Times New Roman" w:cs="Times New Roman"/>
          <w:sz w:val="30"/>
          <w:szCs w:val="30"/>
        </w:rPr>
        <w:t>13.55</w:t>
      </w:r>
      <w:r w:rsidR="00516AF5" w:rsidRPr="00516AF5">
        <w:rPr>
          <w:rFonts w:ascii="Times New Roman" w:eastAsia="仿宋_GB2312" w:hAnsi="Times New Roman" w:cs="Times New Roman" w:hint="eastAsia"/>
          <w:sz w:val="30"/>
          <w:szCs w:val="30"/>
        </w:rPr>
        <w:t>亿元</w:t>
      </w:r>
      <w:r>
        <w:rPr>
          <w:rFonts w:ascii="Times New Roman" w:eastAsia="仿宋_GB2312" w:hAnsi="Times New Roman" w:cs="Times New Roman"/>
          <w:sz w:val="30"/>
          <w:szCs w:val="30"/>
        </w:rPr>
        <w:t>）。</w:t>
      </w:r>
    </w:p>
    <w:p w:rsidR="00971D58" w:rsidRPr="00DD6C71" w:rsidRDefault="00971D58">
      <w:pPr>
        <w:adjustRightInd w:val="0"/>
        <w:snapToGrid w:val="0"/>
        <w:spacing w:line="50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971D58" w:rsidRDefault="003D2BC7">
      <w:pPr>
        <w:adjustRightInd w:val="0"/>
        <w:snapToGrid w:val="0"/>
        <w:spacing w:line="500" w:lineRule="exact"/>
        <w:ind w:leftChars="284" w:left="596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附件：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 xml:space="preserve">1.1-1 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202</w:t>
      </w:r>
      <w:r w:rsidR="008B48CD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政府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一般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债务限额、余额情况表</w:t>
      </w:r>
    </w:p>
    <w:p w:rsidR="00971D58" w:rsidRDefault="003D2BC7">
      <w:pPr>
        <w:adjustRightInd w:val="0"/>
        <w:snapToGrid w:val="0"/>
        <w:spacing w:line="500" w:lineRule="exact"/>
        <w:ind w:firstLineChars="500" w:firstLine="1440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 xml:space="preserve">1-2 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202</w:t>
      </w:r>
      <w:r w:rsidR="008B48CD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政府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专项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债务限额、余额情况表</w:t>
      </w:r>
    </w:p>
    <w:p w:rsidR="00971D58" w:rsidRDefault="003D2BC7">
      <w:pPr>
        <w:adjustRightInd w:val="0"/>
        <w:snapToGrid w:val="0"/>
        <w:spacing w:line="500" w:lineRule="exact"/>
        <w:ind w:leftChars="710" w:left="1491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 xml:space="preserve">1-3 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202</w:t>
      </w:r>
      <w:r w:rsidR="008B48CD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政府债务限额、余额（</w:t>
      </w:r>
      <w:proofErr w:type="gramStart"/>
      <w:r>
        <w:rPr>
          <w:rFonts w:ascii="Times New Roman" w:eastAsia="仿宋_GB2312" w:hAnsi="Times New Roman" w:cs="Times New Roman"/>
          <w:spacing w:val="-6"/>
          <w:sz w:val="30"/>
          <w:szCs w:val="30"/>
        </w:rPr>
        <w:t>含一般</w:t>
      </w:r>
      <w:proofErr w:type="gramEnd"/>
      <w:r>
        <w:rPr>
          <w:rFonts w:ascii="Times New Roman" w:eastAsia="仿宋_GB2312" w:hAnsi="Times New Roman" w:cs="Times New Roman"/>
          <w:spacing w:val="-6"/>
          <w:sz w:val="30"/>
          <w:szCs w:val="30"/>
        </w:rPr>
        <w:t>债务限额、余额和专项债务限额、余额）情况表</w:t>
      </w:r>
    </w:p>
    <w:p w:rsidR="00971D58" w:rsidRDefault="003D2BC7">
      <w:pPr>
        <w:adjustRightInd w:val="0"/>
        <w:snapToGrid w:val="0"/>
        <w:spacing w:line="500" w:lineRule="exact"/>
        <w:ind w:firstLineChars="500" w:firstLine="1440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.2-1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 xml:space="preserve"> 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202</w:t>
      </w:r>
      <w:r w:rsidR="008B48CD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政府债券发行情况表</w:t>
      </w:r>
    </w:p>
    <w:p w:rsidR="00971D58" w:rsidRDefault="003D2BC7">
      <w:pPr>
        <w:adjustRightInd w:val="0"/>
        <w:snapToGrid w:val="0"/>
        <w:spacing w:line="500" w:lineRule="exact"/>
        <w:ind w:firstLineChars="500" w:firstLine="1440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lastRenderedPageBreak/>
        <w:t xml:space="preserve">2-2 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202</w:t>
      </w:r>
      <w:r w:rsidR="008B48CD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乌鲁木齐市政府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债券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发行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情况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明细表</w:t>
      </w:r>
    </w:p>
    <w:p w:rsidR="00971D58" w:rsidRDefault="003D2BC7">
      <w:pPr>
        <w:adjustRightInd w:val="0"/>
        <w:snapToGrid w:val="0"/>
        <w:spacing w:line="500" w:lineRule="exact"/>
        <w:ind w:firstLineChars="500" w:firstLine="1440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2-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 xml:space="preserve"> 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202</w:t>
      </w:r>
      <w:r w:rsidR="008B48CD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度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乌鲁木齐市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新增债券使用情况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表</w:t>
      </w:r>
    </w:p>
    <w:p w:rsidR="00971D58" w:rsidRDefault="003D2BC7">
      <w:pPr>
        <w:adjustRightInd w:val="0"/>
        <w:snapToGrid w:val="0"/>
        <w:spacing w:line="500" w:lineRule="exact"/>
        <w:ind w:firstLineChars="500" w:firstLine="1440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 xml:space="preserve">2-4 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202</w:t>
      </w:r>
      <w:r w:rsidR="008B48CD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3</w:t>
      </w:r>
      <w:r w:rsidR="008E15D2"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度乌鲁木齐市还本付息决算情况表</w:t>
      </w:r>
    </w:p>
    <w:sectPr w:rsidR="00971D58">
      <w:footerReference w:type="default" r:id="rId8"/>
      <w:pgSz w:w="11906" w:h="16838"/>
      <w:pgMar w:top="2098" w:right="1587" w:bottom="187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05" w:rsidRDefault="00E41205">
      <w:r>
        <w:separator/>
      </w:r>
    </w:p>
  </w:endnote>
  <w:endnote w:type="continuationSeparator" w:id="0">
    <w:p w:rsidR="00E41205" w:rsidRDefault="00E4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58" w:rsidRDefault="003D2B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918A0" wp14:editId="6202A1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1D58" w:rsidRDefault="003D2BC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F1B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71D58" w:rsidRDefault="003D2BC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F1B1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05" w:rsidRDefault="00E41205">
      <w:r>
        <w:separator/>
      </w:r>
    </w:p>
  </w:footnote>
  <w:footnote w:type="continuationSeparator" w:id="0">
    <w:p w:rsidR="00E41205" w:rsidRDefault="00E4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8"/>
    <w:rsid w:val="000539E8"/>
    <w:rsid w:val="000619E6"/>
    <w:rsid w:val="0019581A"/>
    <w:rsid w:val="001E598B"/>
    <w:rsid w:val="002472D6"/>
    <w:rsid w:val="002566C5"/>
    <w:rsid w:val="002C029B"/>
    <w:rsid w:val="003B097E"/>
    <w:rsid w:val="003D2BC7"/>
    <w:rsid w:val="0047515F"/>
    <w:rsid w:val="00516AF5"/>
    <w:rsid w:val="005418B5"/>
    <w:rsid w:val="0055053C"/>
    <w:rsid w:val="00635936"/>
    <w:rsid w:val="00680ED5"/>
    <w:rsid w:val="006B023D"/>
    <w:rsid w:val="008B48CD"/>
    <w:rsid w:val="008E15D2"/>
    <w:rsid w:val="00934902"/>
    <w:rsid w:val="009700F8"/>
    <w:rsid w:val="00971D58"/>
    <w:rsid w:val="009E18DB"/>
    <w:rsid w:val="00AF1B15"/>
    <w:rsid w:val="00C4507B"/>
    <w:rsid w:val="00C86762"/>
    <w:rsid w:val="00D74C7B"/>
    <w:rsid w:val="00DA0C81"/>
    <w:rsid w:val="00DD6C71"/>
    <w:rsid w:val="00E41205"/>
    <w:rsid w:val="01915090"/>
    <w:rsid w:val="01B36FE2"/>
    <w:rsid w:val="025D6653"/>
    <w:rsid w:val="02A04E84"/>
    <w:rsid w:val="04617251"/>
    <w:rsid w:val="04AD2225"/>
    <w:rsid w:val="0547492A"/>
    <w:rsid w:val="05814F80"/>
    <w:rsid w:val="063F2F9D"/>
    <w:rsid w:val="082F1287"/>
    <w:rsid w:val="090B4E5B"/>
    <w:rsid w:val="0936380D"/>
    <w:rsid w:val="0A6967A5"/>
    <w:rsid w:val="0B043AA0"/>
    <w:rsid w:val="0E25722D"/>
    <w:rsid w:val="0E8D4F6B"/>
    <w:rsid w:val="0EB74AF2"/>
    <w:rsid w:val="0F3A0282"/>
    <w:rsid w:val="10DA26BA"/>
    <w:rsid w:val="10FD1814"/>
    <w:rsid w:val="11721E10"/>
    <w:rsid w:val="13D57B38"/>
    <w:rsid w:val="13D82C91"/>
    <w:rsid w:val="15476A26"/>
    <w:rsid w:val="15A7053A"/>
    <w:rsid w:val="15B90672"/>
    <w:rsid w:val="16382A74"/>
    <w:rsid w:val="16D06B94"/>
    <w:rsid w:val="182373F8"/>
    <w:rsid w:val="18354E34"/>
    <w:rsid w:val="18823C8F"/>
    <w:rsid w:val="18D86125"/>
    <w:rsid w:val="1C460386"/>
    <w:rsid w:val="1D57227F"/>
    <w:rsid w:val="1E3E5567"/>
    <w:rsid w:val="1E7D1346"/>
    <w:rsid w:val="239B5424"/>
    <w:rsid w:val="27DB15C7"/>
    <w:rsid w:val="28313D4F"/>
    <w:rsid w:val="28D02D9E"/>
    <w:rsid w:val="2AB37734"/>
    <w:rsid w:val="2B0F4298"/>
    <w:rsid w:val="2C015036"/>
    <w:rsid w:val="2CF20F26"/>
    <w:rsid w:val="2F461CD3"/>
    <w:rsid w:val="2FBE46FB"/>
    <w:rsid w:val="2FF70BD5"/>
    <w:rsid w:val="31D13988"/>
    <w:rsid w:val="325A2235"/>
    <w:rsid w:val="34375B9E"/>
    <w:rsid w:val="34A91EA5"/>
    <w:rsid w:val="353C53B6"/>
    <w:rsid w:val="36B666B6"/>
    <w:rsid w:val="37967709"/>
    <w:rsid w:val="388F1457"/>
    <w:rsid w:val="3C8506B1"/>
    <w:rsid w:val="3ED36EBD"/>
    <w:rsid w:val="426315B6"/>
    <w:rsid w:val="453721BE"/>
    <w:rsid w:val="47B72475"/>
    <w:rsid w:val="47E15504"/>
    <w:rsid w:val="485E7AB6"/>
    <w:rsid w:val="4A5526F4"/>
    <w:rsid w:val="4B080752"/>
    <w:rsid w:val="4C484FB5"/>
    <w:rsid w:val="4DB47F12"/>
    <w:rsid w:val="4EDB3CC7"/>
    <w:rsid w:val="50CE11ED"/>
    <w:rsid w:val="51D77DB9"/>
    <w:rsid w:val="52DC0DBB"/>
    <w:rsid w:val="53013412"/>
    <w:rsid w:val="55256961"/>
    <w:rsid w:val="5557301A"/>
    <w:rsid w:val="5564780C"/>
    <w:rsid w:val="57420E00"/>
    <w:rsid w:val="575142BF"/>
    <w:rsid w:val="58A26111"/>
    <w:rsid w:val="59E94415"/>
    <w:rsid w:val="5BDF7196"/>
    <w:rsid w:val="5CCD1DF7"/>
    <w:rsid w:val="5EBE204C"/>
    <w:rsid w:val="5F643357"/>
    <w:rsid w:val="607010E8"/>
    <w:rsid w:val="60CD5C36"/>
    <w:rsid w:val="60F749AE"/>
    <w:rsid w:val="619B38F2"/>
    <w:rsid w:val="61CE0116"/>
    <w:rsid w:val="6541174B"/>
    <w:rsid w:val="66904E5A"/>
    <w:rsid w:val="68BF60D0"/>
    <w:rsid w:val="692F2D63"/>
    <w:rsid w:val="6ACF7A08"/>
    <w:rsid w:val="6B080355"/>
    <w:rsid w:val="6C0012DC"/>
    <w:rsid w:val="6E353EB0"/>
    <w:rsid w:val="70E57CED"/>
    <w:rsid w:val="70F14362"/>
    <w:rsid w:val="7149137C"/>
    <w:rsid w:val="716C23B1"/>
    <w:rsid w:val="71827528"/>
    <w:rsid w:val="7195008E"/>
    <w:rsid w:val="72502CC7"/>
    <w:rsid w:val="77BB7AC7"/>
    <w:rsid w:val="78A73FB9"/>
    <w:rsid w:val="78DD20D4"/>
    <w:rsid w:val="791768FB"/>
    <w:rsid w:val="79A066E1"/>
    <w:rsid w:val="7BC214BA"/>
    <w:rsid w:val="7C0F3169"/>
    <w:rsid w:val="7C13298D"/>
    <w:rsid w:val="7D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5">
    <w:name w:val="Balloon Text"/>
    <w:basedOn w:val="a"/>
    <w:link w:val="Char"/>
    <w:rsid w:val="000619E6"/>
    <w:rPr>
      <w:sz w:val="18"/>
      <w:szCs w:val="18"/>
    </w:rPr>
  </w:style>
  <w:style w:type="character" w:customStyle="1" w:styleId="Char">
    <w:name w:val="批注框文本 Char"/>
    <w:basedOn w:val="a0"/>
    <w:link w:val="a5"/>
    <w:rsid w:val="000619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5">
    <w:name w:val="Balloon Text"/>
    <w:basedOn w:val="a"/>
    <w:link w:val="Char"/>
    <w:rsid w:val="000619E6"/>
    <w:rPr>
      <w:sz w:val="18"/>
      <w:szCs w:val="18"/>
    </w:rPr>
  </w:style>
  <w:style w:type="character" w:customStyle="1" w:styleId="Char">
    <w:name w:val="批注框文本 Char"/>
    <w:basedOn w:val="a0"/>
    <w:link w:val="a5"/>
    <w:rsid w:val="000619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425</Words>
  <Characters>2428</Characters>
  <Application>Microsoft Office Word</Application>
  <DocSecurity>0</DocSecurity>
  <Lines>20</Lines>
  <Paragraphs>5</Paragraphs>
  <ScaleCrop>false</ScaleCrop>
  <Company>微软中国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韩宇鑫</cp:lastModifiedBy>
  <cp:revision>8</cp:revision>
  <dcterms:created xsi:type="dcterms:W3CDTF">2021-07-28T09:41:00Z</dcterms:created>
  <dcterms:modified xsi:type="dcterms:W3CDTF">2024-08-27T08:04:00Z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