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right="0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年度乌鲁木齐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市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跨区域协同创新中心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right="0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（离岸、异地孵化器）绩效评价报告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kern w:val="2"/>
          <w:sz w:val="32"/>
          <w:szCs w:val="36"/>
          <w:u w:val="single"/>
          <w:lang w:val="en-US" w:eastAsia="zh-CN" w:bidi="ar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lang w:val="en-US" w:eastAsia="zh-CN" w:bidi="ar"/>
        </w:rPr>
        <w:t>载体名称：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u w:val="single"/>
          <w:lang w:val="en-US" w:eastAsia="zh-CN" w:bidi="ar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bCs/>
          <w:kern w:val="2"/>
          <w:sz w:val="32"/>
          <w:szCs w:val="36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Cs/>
          <w:kern w:val="2"/>
          <w:sz w:val="32"/>
          <w:szCs w:val="36"/>
          <w:u w:val="single"/>
          <w:lang w:val="en-US" w:eastAsia="zh-CN" w:bidi="ar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u w:val="none"/>
          <w:lang w:val="en-US" w:eastAsia="zh-CN" w:bidi="ar"/>
        </w:rPr>
        <w:t>载体地址（市域外）：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u w:val="single"/>
          <w:lang w:val="en-US" w:eastAsia="zh-CN" w:bidi="ar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bCs/>
          <w:spacing w:val="440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6"/>
          <w:lang w:val="en-US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lang w:val="en-US" w:eastAsia="zh-CN" w:bidi="ar"/>
        </w:rPr>
        <w:t>运营主体名称（本地）：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u w:val="single"/>
          <w:lang w:val="en-US" w:eastAsia="zh-CN" w:bidi="ar"/>
        </w:rPr>
        <w:t xml:space="preserve">                 （公章）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kern w:val="2"/>
          <w:sz w:val="32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6"/>
          <w:lang w:val="en-US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lang w:val="en-US" w:eastAsia="zh-CN" w:bidi="ar"/>
        </w:rPr>
        <w:t>运营主体名称（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u w:val="none"/>
          <w:lang w:val="en-US" w:eastAsia="zh-CN" w:bidi="ar"/>
        </w:rPr>
        <w:t>市域外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lang w:val="en-US" w:eastAsia="zh-CN" w:bidi="ar"/>
        </w:rPr>
        <w:t>）：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u w:val="single"/>
          <w:lang w:val="en-US" w:eastAsia="zh-CN" w:bidi="ar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kern w:val="2"/>
          <w:sz w:val="32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6"/>
          <w:u w:val="single"/>
          <w:lang w:val="en-US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lang w:val="en-US" w:eastAsia="zh-CN" w:bidi="ar"/>
        </w:rPr>
        <w:t>通 讯 地 址（本地）：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bCs/>
          <w:spacing w:val="440"/>
          <w:sz w:val="32"/>
          <w:szCs w:val="36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6"/>
          <w:u w:val="single"/>
          <w:lang w:val="en-US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lang w:val="en-US" w:eastAsia="zh-CN" w:bidi="ar"/>
        </w:rPr>
        <w:t>联  系 人：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u w:val="single"/>
          <w:lang w:val="en-US" w:eastAsia="zh-CN" w:bidi="ar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bCs/>
          <w:spacing w:val="20"/>
          <w:sz w:val="32"/>
          <w:szCs w:val="36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6"/>
          <w:u w:val="single"/>
          <w:lang w:val="en-US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lang w:val="en-US" w:eastAsia="zh-CN" w:bidi="ar"/>
        </w:rPr>
        <w:t>联 系 电 话：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u w:val="single"/>
          <w:lang w:val="en-US" w:eastAsia="zh-CN" w:bidi="ar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6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6"/>
          <w:lang w:val="en-US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lang w:val="en-US" w:eastAsia="zh-CN" w:bidi="ar"/>
        </w:rPr>
        <w:t>填 报 日 期：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lang w:val="en-US" w:eastAsia="zh-CN" w:bidi="ar"/>
        </w:rPr>
        <w:t>年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lang w:val="en-US" w:eastAsia="zh-CN" w:bidi="ar"/>
        </w:rPr>
        <w:t>月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6"/>
          <w:lang w:val="en-US" w:eastAsia="zh-CN" w:bidi="ar"/>
        </w:rPr>
        <w:t>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right="0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方正小标宋_GBK" w:cs="Times New Roman"/>
          <w:kern w:val="2"/>
          <w:sz w:val="44"/>
          <w:szCs w:val="56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56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56"/>
          <w:lang w:val="en-US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56"/>
          <w:lang w:val="en-US" w:eastAsia="zh-CN" w:bidi="ar"/>
        </w:rPr>
        <w:t>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315" w:right="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我公司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作为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的本地运营主体，特此承诺：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本评价报告的编制是本单位在认真阅读理解基础上按要求编制的。我公司充分认识到保证评价报告内容的真实是我公司的责任和义务。我公司承诺评价报告的各项内容均真实、客观、准确，如有失实或失信行为，愿意承担所有责任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，并接受相应处理。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240" w:firstLineChars="7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运营单位名称（公章）：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560" w:firstLineChars="8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法定代表人（签字）：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560" w:firstLineChars="8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          日    期：    年   月   日</w:t>
      </w:r>
    </w:p>
    <w:p>
      <w:pP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/>
        </w:rPr>
        <w:t>年度科技跨区域协同创新中心（离岸、异地孵化器）运行情况统计表</w:t>
      </w:r>
    </w:p>
    <w:tbl>
      <w:tblPr>
        <w:tblStyle w:val="8"/>
        <w:tblW w:w="1045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741"/>
        <w:gridCol w:w="1743"/>
        <w:gridCol w:w="1741"/>
        <w:gridCol w:w="1743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申报类型</w:t>
            </w:r>
          </w:p>
        </w:tc>
        <w:tc>
          <w:tcPr>
            <w:tcW w:w="87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离岸孵化器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国外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异地孵化器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市域外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载体名称</w:t>
            </w:r>
          </w:p>
        </w:tc>
        <w:tc>
          <w:tcPr>
            <w:tcW w:w="3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运营主体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申报主体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运营主体性质</w:t>
            </w:r>
          </w:p>
        </w:tc>
        <w:tc>
          <w:tcPr>
            <w:tcW w:w="3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注册时间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3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运营时间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注册地址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（本地）</w:t>
            </w:r>
          </w:p>
        </w:tc>
        <w:tc>
          <w:tcPr>
            <w:tcW w:w="3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运营地址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市域外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荣获自治区级及以上资质认定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本地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7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 xml:space="preserve">□众创空间  □孵化器  □加速器  □国家大学科技园  □其他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荣获自治区级及以上资质认定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市域外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7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 xml:space="preserve">□众创空间  □孵化器  □加速器  □国家大学科技园  □其他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主要服务模式</w:t>
            </w:r>
          </w:p>
        </w:tc>
        <w:tc>
          <w:tcPr>
            <w:tcW w:w="87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□提供创业场地 □共享设施 □技术服务 □咨询服务 □投资融资 □创业辅导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□资源对接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□其他，请说明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载体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负责人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市域外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电话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运营主体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负责人（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本地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电话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场地面积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（㎡）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（国外/本市外）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荣获当地省级及以上资质（异地孵化器必填）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引进人才、团队、项目、企业来乌落地成功案例数量（个）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孵化场地数量（个）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有合作关系的机构和载体数量（个）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自有种子资金或孵化资金额（万元）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管理人员数量（名）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专业服务人员数量（名）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创业导师数量（名）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5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申请单位承诺</w:t>
            </w:r>
          </w:p>
        </w:tc>
        <w:tc>
          <w:tcPr>
            <w:tcW w:w="5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所在区（县）科技主管部门意见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5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本单位为申请乌鲁木齐市级跨区域协同创新中心（离岸、异地）孵化器备案所提交的相关信息和材料均真实、准确、有效。</w:t>
            </w:r>
          </w:p>
          <w:p>
            <w:pPr>
              <w:pStyle w:val="4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 xml:space="preserve">       负责人签章：</w:t>
            </w:r>
          </w:p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 xml:space="preserve">         单位盖章：</w:t>
            </w:r>
          </w:p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 xml:space="preserve">                            年  月  日</w:t>
            </w:r>
          </w:p>
        </w:tc>
        <w:tc>
          <w:tcPr>
            <w:tcW w:w="5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 xml:space="preserve">    </w:t>
            </w:r>
          </w:p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 xml:space="preserve">                         年   月   日           </w:t>
            </w:r>
          </w:p>
        </w:tc>
      </w:tr>
    </w:tbl>
    <w:p>
      <w:pPr>
        <w:spacing w:afterLines="100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1984" w:right="1531" w:bottom="1701" w:left="1531" w:header="1020" w:footer="1191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乌鲁木齐市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跨区域协同创新中心（离岸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highlight w:val="none"/>
          <w:lang w:eastAsia="zh-CN"/>
        </w:rPr>
        <w:t>、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异地孵化器）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绩效评价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报告</w:t>
      </w:r>
    </w:p>
    <w:p>
      <w:pPr>
        <w:numPr>
          <w:ilvl w:val="0"/>
          <w:numId w:val="1"/>
        </w:numPr>
        <w:spacing w:line="560" w:lineRule="exact"/>
        <w:ind w:left="630" w:leftChars="0" w:firstLineChars="0"/>
        <w:rPr>
          <w:rFonts w:hint="default" w:ascii="Times New Roman" w:hAnsi="Times New Roman" w:eastAsia="黑体" w:cs="Times New Roman"/>
          <w:b w:val="0"/>
          <w:bCs w:val="0"/>
          <w:sz w:val="32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0"/>
          <w:highlight w:val="none"/>
          <w:lang w:val="en-US" w:eastAsia="zh-CN"/>
        </w:rPr>
        <w:t>基本情况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0"/>
          <w:highlight w:val="none"/>
        </w:rPr>
        <w:t>介绍</w:t>
      </w:r>
    </w:p>
    <w:p>
      <w:pPr>
        <w:keepNext w:val="0"/>
        <w:keepLines w:val="0"/>
        <w:widowControl w:val="0"/>
        <w:suppressLineNumbers w:val="0"/>
        <w:tabs>
          <w:tab w:val="left" w:pos="7980"/>
        </w:tabs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1. 运营主体概况（包括本地和当地运营主体情况）</w:t>
      </w:r>
    </w:p>
    <w:p>
      <w:pPr>
        <w:keepNext w:val="0"/>
        <w:keepLines w:val="0"/>
        <w:widowControl w:val="0"/>
        <w:suppressLineNumbers w:val="0"/>
        <w:tabs>
          <w:tab w:val="left" w:pos="7980"/>
        </w:tabs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2. 场地建设、使用情况</w:t>
      </w:r>
    </w:p>
    <w:p>
      <w:pPr>
        <w:keepNext w:val="0"/>
        <w:keepLines w:val="0"/>
        <w:widowControl w:val="0"/>
        <w:suppressLineNumbers w:val="0"/>
        <w:tabs>
          <w:tab w:val="left" w:pos="7980"/>
        </w:tabs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3. 管理团队介绍</w:t>
      </w:r>
    </w:p>
    <w:p>
      <w:pPr>
        <w:keepNext w:val="0"/>
        <w:keepLines w:val="0"/>
        <w:widowControl w:val="0"/>
        <w:suppressLineNumbers w:val="0"/>
        <w:tabs>
          <w:tab w:val="left" w:pos="7980"/>
        </w:tabs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3. 管理制度建设情况</w:t>
      </w:r>
    </w:p>
    <w:p>
      <w:pPr>
        <w:keepNext w:val="0"/>
        <w:keepLines w:val="0"/>
        <w:widowControl w:val="0"/>
        <w:suppressLineNumbers w:val="0"/>
        <w:tabs>
          <w:tab w:val="left" w:pos="7980"/>
        </w:tabs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二、服务功能</w:t>
      </w:r>
    </w:p>
    <w:p>
      <w:pPr>
        <w:ind w:firstLine="640" w:firstLineChars="20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已与国外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省级以上孵化载体和具备一定实力和影响力的专业服务机构、高校、科研院所等建立了长期紧密的合作关系，能够促进两地实现资源的互联互通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  <w:t>；</w:t>
      </w:r>
    </w:p>
    <w:p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  <w:t>为两地企业/企业提供创业投资与孵化、辅导与培训、创新创业大赛、人才交流、技术对接、项目路演、创新创业环境推介、信息与市场资源对接、境外技术服务、成果转化、人才引进、产业需求、国际贸易合作、落地本市政策服务、法律服务和人民币结算等方面的服务。</w:t>
      </w:r>
    </w:p>
    <w:p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eastAsia="zh-CN"/>
        </w:rPr>
        <w:t>通过跨区域协同创新中心（离岸、异地孵化器）实现两地人才交流和培养、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  <w:t>智力资源共享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eastAsia="zh-CN"/>
        </w:rPr>
        <w:t>情况。</w:t>
      </w:r>
    </w:p>
    <w:p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  <w:t>围绕新疆的主导产业、特色优势产业、战略性新兴产业，协调助力乌鲁木齐市联合攻关和技术引进项目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  <w:t>技术交流、项目对接等要素落地发展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eastAsia="zh-CN"/>
        </w:rPr>
        <w:t>情况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  <w:t>。</w:t>
      </w:r>
    </w:p>
    <w:p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val="en-US" w:eastAsia="zh-CN"/>
        </w:rPr>
        <w:t>5.积极参与跨区域协同创新合作机制，整合创新资源，促进成果转化，集聚各类信息、技术、资金、人才、装备等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  <w:t>创新要素和创新资源的跨区域协同共享共建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eastAsia="zh-CN"/>
        </w:rPr>
        <w:t>推荐情况。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  <w:t xml:space="preserve"> </w:t>
      </w:r>
    </w:p>
    <w:p>
      <w:pPr>
        <w:keepNext w:val="0"/>
        <w:keepLines w:val="0"/>
        <w:widowControl w:val="0"/>
        <w:suppressLineNumbers w:val="0"/>
        <w:tabs>
          <w:tab w:val="left" w:pos="7980"/>
        </w:tabs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三、202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年度引进或促成人才、团队、项目、企业来乌落地的成功案例（1-3个成功案例）</w:t>
      </w:r>
    </w:p>
    <w:p>
      <w:pPr>
        <w:keepNext w:val="0"/>
        <w:keepLines w:val="0"/>
        <w:widowControl w:val="0"/>
        <w:suppressLineNumbers w:val="0"/>
        <w:tabs>
          <w:tab w:val="left" w:pos="7980"/>
        </w:tabs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四、运营中存在的问题、困难及政策建议</w:t>
      </w:r>
    </w:p>
    <w:p>
      <w:pPr>
        <w:keepNext w:val="0"/>
        <w:keepLines w:val="0"/>
        <w:widowControl w:val="0"/>
        <w:suppressLineNumbers w:val="0"/>
        <w:tabs>
          <w:tab w:val="left" w:pos="7980"/>
        </w:tabs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五、有关附件</w:t>
      </w:r>
    </w:p>
    <w:p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eastAsia="zh-CN"/>
        </w:rPr>
        <w:t>跨区域协同创新中心（离岸、异地孵化器）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val="en-US" w:eastAsia="zh-CN"/>
        </w:rPr>
        <w:t>当地运营主题和本地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eastAsia="zh-CN"/>
        </w:rPr>
        <w:t>运营主体的法人营业执照复印件；</w:t>
      </w:r>
    </w:p>
    <w:p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eastAsia="zh-CN"/>
        </w:rPr>
        <w:t>运营主体和跨区域协同创新中心（离岸、异地孵化器）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eastAsia="zh-CN"/>
        </w:rPr>
        <w:t>合作协议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  <w:t>复印件；</w:t>
      </w:r>
    </w:p>
    <w:p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eastAsia="zh-CN"/>
        </w:rPr>
        <w:t>跨区域协同创新中心（离岸、异地孵化器）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  <w:t>管理人员的学位证书的复印件；</w:t>
      </w:r>
    </w:p>
    <w:p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  <w:t>.接受孵化器从业人员培训的相关资质的复印件；</w:t>
      </w:r>
    </w:p>
    <w:p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eastAsia="zh-CN"/>
        </w:rPr>
        <w:t>跨区域协同创新中心（离岸、异地孵化器）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  <w:t>场地的产权证明（或租赁合同）的复印件；</w:t>
      </w:r>
    </w:p>
    <w:p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  <w:t>.关于孵化器运营机构设置与职能的相关文件复印件；</w:t>
      </w:r>
    </w:p>
    <w:p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0"/>
          <w:highlight w:val="none"/>
        </w:rPr>
        <w:t>.已获得自治区级及以上众创空间、孵化器、加速器、国家大学科技园、小微企业创业创新孵化基地等资质认定的复印件；</w:t>
      </w:r>
    </w:p>
    <w:p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.与国外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省级以上具备一定实力和影响力的专业服务机构、高校、科研院所等签署的为在孵企业服务的合作协议的复印件；</w:t>
      </w:r>
    </w:p>
    <w:p>
      <w:pPr>
        <w:keepNext w:val="0"/>
        <w:keepLines w:val="0"/>
        <w:widowControl w:val="0"/>
        <w:suppressLineNumbers w:val="0"/>
        <w:tabs>
          <w:tab w:val="left" w:pos="7980"/>
        </w:tabs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为创业团队、初创企业提供服务情况记录；</w:t>
      </w:r>
    </w:p>
    <w:p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10.举办或组织参加各类创新创业活动情况，每场活动附举办活动的通知、签到单和现场照片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</w:p>
    <w:p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TW" w:eastAsia="zh-TW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bookmarkStart w:id="0" w:name="_GoBack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其他。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TW" w:eastAsia="zh-TW"/>
        </w:rPr>
        <w:t>主动对接各地产、学、研等科技创新优势资源，推动实施借力创新和协同创新，促进科技成果异地孵化、项目本地转化、跨区域协同服务，打通各地科技成果、项目、人才等创新资源落地乌鲁木齐市的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TW" w:eastAsia="zh-TW"/>
        </w:rPr>
        <w:t>绿色通道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”的工作开展情况的证明资料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TW" w:eastAsia="zh-TW"/>
        </w:rPr>
        <w:t>。</w:t>
      </w:r>
    </w:p>
    <w:p>
      <w:pPr>
        <w:pStyle w:val="2"/>
        <w:ind w:left="0" w:leftChars="0"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12.积极参与跨区域协同创新合作项目的征集和跟进服务内容相关证明。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right="0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right="0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bookmarkEnd w:id="0"/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right="0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right"/>
        <w:rPr>
          <w:color w:val="333333"/>
          <w:shd w:val="clear" w:color="auto" w:fill="FFFFFF"/>
        </w:rPr>
      </w:pPr>
    </w:p>
    <w:sectPr>
      <w:footerReference r:id="rId4" w:type="default"/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23DFB"/>
    <w:multiLevelType w:val="singleLevel"/>
    <w:tmpl w:val="1AC23DFB"/>
    <w:lvl w:ilvl="0" w:tentative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yZGJiMjBkMGE2NzBlMmQ0ZmYyODQzYjUzNjc2YjIifQ=="/>
  </w:docVars>
  <w:rsids>
    <w:rsidRoot w:val="61F5324D"/>
    <w:rsid w:val="00837CEB"/>
    <w:rsid w:val="00A558B6"/>
    <w:rsid w:val="00B24373"/>
    <w:rsid w:val="00E76C11"/>
    <w:rsid w:val="00EC4BC6"/>
    <w:rsid w:val="00EC62C0"/>
    <w:rsid w:val="00F93C52"/>
    <w:rsid w:val="02D105DC"/>
    <w:rsid w:val="02E652CB"/>
    <w:rsid w:val="06472BE2"/>
    <w:rsid w:val="0BB35E2B"/>
    <w:rsid w:val="0BD72AA1"/>
    <w:rsid w:val="0E801458"/>
    <w:rsid w:val="10A87E26"/>
    <w:rsid w:val="11001706"/>
    <w:rsid w:val="117A6095"/>
    <w:rsid w:val="125E65CB"/>
    <w:rsid w:val="14CF7C06"/>
    <w:rsid w:val="167D07AA"/>
    <w:rsid w:val="172A026C"/>
    <w:rsid w:val="1E9A3089"/>
    <w:rsid w:val="214845B2"/>
    <w:rsid w:val="21BC082D"/>
    <w:rsid w:val="24220CFE"/>
    <w:rsid w:val="24247062"/>
    <w:rsid w:val="2960467D"/>
    <w:rsid w:val="2AA550A0"/>
    <w:rsid w:val="300F6814"/>
    <w:rsid w:val="301459E7"/>
    <w:rsid w:val="39F07CBA"/>
    <w:rsid w:val="3AED3C88"/>
    <w:rsid w:val="3C7212FF"/>
    <w:rsid w:val="40CB28E7"/>
    <w:rsid w:val="419345BB"/>
    <w:rsid w:val="44BC2C73"/>
    <w:rsid w:val="44E9164A"/>
    <w:rsid w:val="478623D3"/>
    <w:rsid w:val="496A248A"/>
    <w:rsid w:val="4C1C66ED"/>
    <w:rsid w:val="4EB61AAE"/>
    <w:rsid w:val="566A00AD"/>
    <w:rsid w:val="5A0A0C13"/>
    <w:rsid w:val="5B472694"/>
    <w:rsid w:val="5F7F7003"/>
    <w:rsid w:val="61F5324D"/>
    <w:rsid w:val="647B6F79"/>
    <w:rsid w:val="69A45E81"/>
    <w:rsid w:val="6F7D6098"/>
    <w:rsid w:val="70DF73D2"/>
    <w:rsid w:val="737D0377"/>
    <w:rsid w:val="7616127A"/>
    <w:rsid w:val="7DAB4ABE"/>
    <w:rsid w:val="7F59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890</Words>
  <Characters>5074</Characters>
  <Lines>42</Lines>
  <Paragraphs>11</Paragraphs>
  <TotalTime>1</TotalTime>
  <ScaleCrop>false</ScaleCrop>
  <LinksUpToDate>false</LinksUpToDate>
  <CharactersWithSpaces>5953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2024-05-29T03:44:00Z</dcterms:created>
  <dc:creator>wangjiao</dc:creator>
  <cp:lastModifiedBy>王姣</cp:lastModifiedBy>
  <dcterms:modified xsi:type="dcterms:W3CDTF">2024-05-31T08:32:53Z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E29E534ED3774227B420E4911FF0308B_13</vt:lpwstr>
  </property>
</Properties>
</file>